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宋体" w:hAnsi="宋体" w:eastAsia="宋体"/>
          <w:b/>
          <w:color w:val="1F4E79"/>
          <w:sz w:val="36"/>
        </w:rPr>
        <w:t>农村污水PPP绩效考核报告生成系统PRD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1. 产品定位</w:t>
      </w:r>
    </w:p>
    <w:p>
      <w:pPr>
        <w:spacing w:after="100"/>
      </w:pPr>
      <w:r>
        <w:rPr>
          <w:rFonts w:ascii="宋体" w:hAnsi="宋体" w:eastAsia="宋体"/>
          <w:sz w:val="22"/>
        </w:rPr>
        <w:t>本产品用于把对方发送的农村污水PPP绩效考核资料包，自动转化为正式 DOCX 报告。系统内部基于“报告、金额、规范”三类能力运行，但用户侧不需要理解这些内部规则。</w:t>
      </w:r>
    </w:p>
    <w:p>
      <w:pPr>
        <w:spacing w:after="100"/>
      </w:pPr>
      <w:r>
        <w:rPr>
          <w:rFonts w:ascii="宋体" w:hAnsi="宋体" w:eastAsia="宋体"/>
          <w:sz w:val="22"/>
        </w:rPr>
        <w:t>产品主流程必须足够简单：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上传资料包。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如有新的金额计算方法，则选填上传或填写。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系统自动生成报告。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下载成品 DOCX 报告。</w:t>
      </w:r>
    </w:p>
    <w:p>
      <w:pPr>
        <w:spacing w:after="100"/>
      </w:pPr>
      <w:r>
        <w:rPr>
          <w:rFonts w:ascii="宋体" w:hAnsi="宋体" w:eastAsia="宋体"/>
          <w:sz w:val="22"/>
        </w:rPr>
        <w:t>其中，新的金额计算方法为选填项。如果用户没有提供新的金额计算方法，系统自动使用默认金额计算方法继续生成，不得让用户卡在金额规则选择上。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2. 用户输入与系统输出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2.1 用户输入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输入项</w:t>
            </w:r>
          </w:p>
        </w:tc>
        <w:tc>
          <w:tcPr>
            <w:tcW w:type="dxa" w:w="3216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必填</w:t>
            </w:r>
          </w:p>
        </w:tc>
        <w:tc>
          <w:tcPr>
            <w:tcW w:type="dxa" w:w="3216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资料包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是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对方发送的镇街资料包，可包含一个或多个镇街资料、公共资料、附件、表格等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新的金额计算方法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否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仅当本次有新的合同、补充协议、金额基础表或特殊计算说明时提供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宋体" w:hAnsi="宋体" w:eastAsia="宋体"/>
          <w:sz w:val="22"/>
        </w:rPr>
        <w:t>系统默认支持类似以下结构：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资料收集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├─ 公共资料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├─ 金额基础数据.xlsx（如有）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├─ 北陡镇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│  └─ 北陡镇附件资料.docx</w:t>
      </w:r>
    </w:p>
    <w:p>
      <w:pPr>
        <w:spacing w:after="80"/>
        <w:shd w:fill="F2F4F7"/>
      </w:pPr>
      <w:r>
        <w:rPr>
          <w:rFonts w:ascii="Consolas" w:hAnsi="Consolas" w:eastAsia="Consolas"/>
          <w:sz w:val="18"/>
        </w:rPr>
        <w:t>└─ 其他镇街资料</w:t>
      </w:r>
    </w:p>
    <w:p>
      <w:pPr>
        <w:pStyle w:val="Heading2"/>
      </w:pPr>
      <w:r>
        <w:rPr>
          <w:rFonts w:ascii="宋体" w:hAnsi="宋体" w:eastAsia="宋体"/>
          <w:b/>
          <w:color w:val="1F4E79"/>
          <w:sz w:val="28"/>
        </w:rPr>
        <w:t>2.2 系统输出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输出项</w:t>
            </w:r>
          </w:p>
        </w:tc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成品 DOCX 报告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主输出，供用户下载、提交和继续编辑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生成详情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辅助信息，包括识别结果、金额过程、校验结果和异常说明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宋体" w:hAnsi="宋体" w:eastAsia="宋体"/>
          <w:sz w:val="22"/>
        </w:rPr>
        <w:t>产品页面上应突出“成品报告”，不要把金额过程、校验清单、Agent 日志设计成同等重要的主输出。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3. 核心业务规则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原正文只作为模板和格式参考，历史数据默认视为不存在。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报告数据必须来自当前资料包、公共资料、金额依据或用户本次明确提供的新金额方法。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未提供新的金额计算方法时，系统使用默认金额计算方法。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只有用户提供新的合同、补充协议、金额基础表或特殊计算说明时，才覆盖默认金额计算方法。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单镇报告只写本镇，不出现其他镇名。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多镇或总报告必须写共性问题分析，例子必须来自当前资料包。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报告必须保留正式底稿的章节顺序、表格样式、表头、公式说明和正式语气。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报告文件名不得出现“生成版、模板版、套话版、测试版”等制作痕迹。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表格序号必须从 1 开始连续编号。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成品报告全文使用宋体，只有标题或标题句加粗。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4. 系统内部能力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能力</w:t>
            </w:r>
          </w:p>
        </w:tc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资料解析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自动识别镇街、附件、公共资料、评分表、水质资料和项目资料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规范写作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按正式报告语气生成第二章及问题描述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金额核算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计算 Ec1、Ec2、可用性付费、运维服务费、扣减金额和合计金额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报告生成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套用正式底稿生成 DOCX 报告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报告校验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检查命名、串镇、金额、表格序号、字体和结构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宋体" w:hAnsi="宋体" w:eastAsia="宋体"/>
          <w:sz w:val="22"/>
        </w:rPr>
        <w:t>金额核算规则：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单站评分 W 换算 Ec1/Ec2。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镇级 Ec1/Ec2 为抽检设施算术平均值，报告通常保留三位小数。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可用性付费 = 年可用性付费基数（万元/年）* 10000 / 12 * E1 * Ec2。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第一至第七批运维服务费 = 对应月运维基数合计 * Ec1。</w:t>
      </w:r>
    </w:p>
    <w:p>
      <w:pPr>
        <w:pStyle w:val="ListBullet"/>
        <w:spacing w:after="100"/>
      </w:pPr>
      <w:r>
        <w:rPr>
          <w:rFonts w:ascii="宋体" w:hAnsi="宋体" w:eastAsia="宋体"/>
          <w:sz w:val="22"/>
        </w:rPr>
        <w:t>扣减金额 = 基数 - 本次考核计算金额。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5. 核心页面</w:t>
      </w:r>
    </w:p>
    <w:p>
      <w:pPr>
        <w:spacing w:after="100"/>
      </w:pPr>
      <w:r>
        <w:rPr>
          <w:rFonts w:ascii="宋体" w:hAnsi="宋体" w:eastAsia="宋体"/>
          <w:sz w:val="22"/>
        </w:rPr>
        <w:t>本期建议只保留 5 个核心页面，减少用户找入口的成本。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生成报告首页：唯一主入口为“上传资料包生成报告”。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上传资料包页：资料包必填，新的金额计算方法选填。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生成确认页：展示识别摘要、默认金额方法状态和输出类型。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自动生成进度页：展示系统处理进度和必要异常。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成品报告结果页：突出下载成品报告，详情折叠展示。</w:t>
      </w:r>
    </w:p>
    <w:p>
      <w:pPr>
        <w:spacing w:after="100"/>
      </w:pPr>
      <w:r>
        <w:rPr>
          <w:rFonts w:ascii="宋体" w:hAnsi="宋体" w:eastAsia="宋体"/>
          <w:sz w:val="22"/>
        </w:rPr>
        <w:t>历史报告可作为辅助入口，不进入主生成流程。</w:t>
      </w: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6. 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3216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需求</w:t>
            </w:r>
          </w:p>
        </w:tc>
        <w:tc>
          <w:tcPr>
            <w:tcW w:type="dxa" w:w="3216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F-001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首页提供清晰主按钮“上传资料包生成报告”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P0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F-002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支持上传一个或多个镇街资料包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P0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F-003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新的金额计算方法为选填，默认收起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P0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F-004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未提供新金额方法时，自动使用默认金额计算方法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P0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F-005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系统自动推荐单镇、多镇或汇总报告输出方式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P0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F-006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系统自动完成资料解析、金额核算和报告生成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P0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F-007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系统自动校验命名、串镇、金额、表格序号和字体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P0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F-008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结果页优先提供成品 DOCX 报告下载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P0</w:t>
            </w:r>
          </w:p>
        </w:tc>
      </w:tr>
      <w:tr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F-009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金额过程和校验结果通过“查看详情”展示</w:t>
            </w:r>
          </w:p>
        </w:tc>
        <w:tc>
          <w:tcPr>
            <w:tcW w:type="dxa" w:w="3216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P1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7. 异常处理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情况</w:t>
            </w:r>
          </w:p>
        </w:tc>
        <w:tc>
          <w:tcPr>
            <w:tcW w:type="dxa" w:w="4824"/>
            <w:vAlign w:val="center"/>
            <w:shd w:fill="E8EEF5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未提供新的金额计算方法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使用默认金额计算方法，继续生成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资料包无法读取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阻断生成，提示重新上传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镇街名称无法识别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提示用户确认镇街名称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评分资料缺失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生成草稿或标记需确认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金额异常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在详情中标红，必要时阻断导出</w:t>
            </w:r>
          </w:p>
        </w:tc>
      </w:tr>
      <w:tr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单镇报告出现其他镇名</w:t>
            </w:r>
          </w:p>
        </w:tc>
        <w:tc>
          <w:tcPr>
            <w:tcW w:type="dxa" w:w="4824"/>
            <w:vAlign w:val="center"/>
            <w:tcBorders>
              <w:top w:val="single" w:sz="4" w:space="0" w:color="B8C4D1"/>
              <w:left w:val="single" w:sz="4" w:space="0" w:color="B8C4D1"/>
              <w:bottom w:val="single" w:sz="4" w:space="0" w:color="B8C4D1"/>
              <w:right w:val="single" w:sz="4" w:space="0" w:color="B8C4D1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阻断正式导出并自动修复或提示处理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宋体" w:hAnsi="宋体" w:eastAsia="宋体"/>
          <w:b/>
          <w:color w:val="1F4E79"/>
          <w:sz w:val="32"/>
        </w:rPr>
        <w:t>8. 验收标准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用户不上传新的金额计算方法，也能完成报告生成。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用户能明确理解：资料包是必填，新的金额计算方法是选填。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首页、上传页和结果页的主操作足够明显。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生成过程无需用户逐项确认，只有阻断异常才要求处理。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成品报告是结果页最突出内容。</w:t>
      </w:r>
    </w:p>
    <w:p>
      <w:pPr>
        <w:pStyle w:val="ListNumber"/>
        <w:spacing w:after="100"/>
      </w:pPr>
      <w:r>
        <w:rPr>
          <w:rFonts w:ascii="宋体" w:hAnsi="宋体" w:eastAsia="宋体"/>
          <w:sz w:val="22"/>
        </w:rPr>
        <w:t>生成详情可查看，但不干扰主流程。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宋体" w:hAnsi="宋体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