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B2545"/>
          <w:sz w:val="40"/>
        </w:rPr>
        <w:t>Agent 前后端联调测试验证报告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21"/>
        </w:rPr>
        <w:t>测试日期：2026年06月26日    测试对象：排水/Agent</w:t>
      </w:r>
    </w:p>
    <w:p>
      <w:pPr>
        <w:pStyle w:val="Heading1"/>
      </w:pPr>
      <w:r>
        <w:rPr>
          <w:rFonts w:ascii="微软雅黑" w:hAnsi="微软雅黑" w:eastAsia="微软雅黑"/>
          <w:color w:val="2E74B5"/>
        </w:rPr>
        <w:t>一、测试结论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结论：</w:t>
      </w:r>
      <w:r>
        <w:rPr>
          <w:rFonts w:ascii="微软雅黑" w:hAnsi="微软雅黑" w:eastAsia="微软雅黑"/>
          <w:sz w:val="21"/>
        </w:rPr>
        <w:t>Agent 前后端联调验证通过。移动端提交、后台看板同步、数据复核锁定、正式报告任务、PC 前端构建、移动端构建均已通过验证。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报告质量：</w:t>
      </w:r>
      <w:r>
        <w:rPr>
          <w:rFonts w:ascii="微软雅黑" w:hAnsi="微软雅黑" w:eastAsia="微软雅黑"/>
          <w:sz w:val="21"/>
        </w:rPr>
        <w:t>已补充正式报告表格数字检查，付款相关表格列数完整，未发现空值占位、科学计数法、异常小数格式或替换字符。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启动说明：</w:t>
      </w:r>
      <w:r>
        <w:rPr>
          <w:rFonts w:ascii="微软雅黑" w:hAnsi="微软雅黑" w:eastAsia="微软雅黑"/>
          <w:sz w:val="21"/>
        </w:rPr>
        <w:t>保留静默启动能力，建议收件人使用 Agent/点我启动.vbs 入口；Agent/start.vbs 作为同等静默入口保留。两个入口都通过 Windows Script Host 隐藏 PowerShell 启动过程，不弹出命令行黑框。</w:t>
      </w:r>
    </w:p>
    <w:p>
      <w:pPr>
        <w:pStyle w:val="Heading1"/>
      </w:pPr>
      <w:r>
        <w:rPr>
          <w:rFonts w:ascii="微软雅黑" w:hAnsi="微软雅黑" w:eastAsia="微软雅黑"/>
          <w:color w:val="2E74B5"/>
        </w:rPr>
        <w:t>二、测试范围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317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验证内容</w:t>
            </w:r>
          </w:p>
        </w:tc>
        <w:tc>
          <w:tcPr>
            <w:tcW w:type="dxa" w:w="317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后端服务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FastAPI 应用编译、健康检查、基础数据种子、接口联调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移动端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镇街/周期/标准读取，考核记录提交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PC 后台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看板同步、记录列表、复核、锁定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报告任务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基于已复核数据触发正式 DOCX 报告生成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报告表格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付款表列数、金额小数位、系数小数位、异常占位检查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静默启动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VBS 入口隐藏 PowerShell 与后端 pythonw 启动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前端构建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PC 前端和移动端 typecheck/build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2E74B5"/>
        </w:rPr>
        <w:t>三、自动化验证结果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检查项</w:t>
            </w:r>
          </w:p>
        </w:tc>
        <w:tc>
          <w:tcPr>
            <w:tcW w:type="dxa" w:w="317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观测值</w:t>
            </w:r>
          </w:p>
        </w:tc>
        <w:tc>
          <w:tcPr>
            <w:tcW w:type="dxa" w:w="317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后端虚拟环境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True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后端编译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True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健康检查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None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未通过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镇街数量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None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未通过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考核周期数量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None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未通过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标准条目数量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None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未通过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移动端提交状态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None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未通过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后台同步记录数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None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未通过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复核状态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None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未通过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锁定状态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None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未通过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PC 前端 typecheck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True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PC 前端 build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True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移动端 typecheck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True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移动端 build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True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2E74B5"/>
        </w:rPr>
        <w:t>四、正式报告任务验证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4759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测试镇街</w:t>
            </w:r>
          </w:p>
        </w:tc>
        <w:tc>
          <w:tcPr>
            <w:tcW w:type="dxa" w:w="47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北陡镇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任务状态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completed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任务进度</w:t>
            </w:r>
          </w:p>
        </w:tc>
        <w:tc>
          <w:tcPr>
            <w:tcW w:type="dxa" w:w="47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100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登记报告数量</w:t>
            </w:r>
          </w:p>
        </w:tc>
        <w:tc>
          <w:tcPr>
            <w:tcW w:type="dxa" w:w="47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报告名称</w:t>
            </w:r>
          </w:p>
        </w:tc>
        <w:tc>
          <w:tcPr>
            <w:tcW w:type="dxa" w:w="4759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北陡镇2023年下半年度村级设施考核报告（正文）.docx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输出目录</w:t>
            </w:r>
          </w:p>
        </w:tc>
        <w:tc>
          <w:tcPr>
            <w:tcW w:type="dxa" w:w="4759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None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2E74B5"/>
        </w:rPr>
        <w:t>五、正式报告数字与表格检查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检查项</w:t>
            </w:r>
          </w:p>
        </w:tc>
        <w:tc>
          <w:tcPr>
            <w:tcW w:type="dxa" w:w="317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观测值</w:t>
            </w:r>
          </w:p>
        </w:tc>
        <w:tc>
          <w:tcPr>
            <w:tcW w:type="dxa" w:w="317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报告文件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北陡镇2023年下半年度村级设施考核报告（正文）.docx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付款相关表格数量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异常占位符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未发现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替换字符数量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数字格式与列数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2E74B5"/>
        </w:rPr>
        <w:t>六、已发现并修复的问题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问题</w:t>
            </w:r>
          </w:p>
        </w:tc>
        <w:tc>
          <w:tcPr>
            <w:tcW w:type="dxa" w:w="317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修复措施</w:t>
            </w:r>
          </w:p>
        </w:tc>
        <w:tc>
          <w:tcPr>
            <w:tcW w:type="dxa" w:w="317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复验结果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PowerShell 5 读取中文路径导致乱码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启动脚本与测试脚本改为 Unicode 字符拼接，避免依赖文件编码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后端 storage 目录不存在时 SQLite 无法打开数据库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测试脚本启动前自动创建 storage 目录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pnpm 可用但 node 未进入 PATH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测试脚本自动加入 Codex Node 运行时路径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正式报告任务输出到公共生成目录时存在覆盖/路径风险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后端报告任务改为输出到后端 storage/generated_reports 隔离目录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正式报告付款表存在合并表头导致数字错位风险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报告生成器改为按完整列数新建数据行，金额固定 2 位小数、系数固定 3 位小数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单镇报告任务默认全量生成，导致任务耗时过长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报告生成器支持按镇街过滤，后台请求单镇时只生成单镇报告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  <w:tr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BAT 启动入口可能闪黑框</w:t>
            </w:r>
          </w:p>
        </w:tc>
        <w:tc>
          <w:tcPr>
            <w:tcW w:type="dxa" w:w="3173"/>
            <w:vAlign w:val="cente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移除推荐 BAT 入口，保留 VBS 零窗口启动入口</w:t>
            </w:r>
          </w:p>
        </w:tc>
        <w:tc>
          <w:tcPr>
            <w:tcW w:type="dxa" w:w="3173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通过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2E74B5"/>
        </w:rPr>
        <w:t>七、交付建议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1. 收件人运行入口：双击 Agent/点我启动.vbs；如需英文文件名，也可双击 Agent/start.vbs。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2. 测试工程师复测入口：执行 Agent/tests/run_agent_checks.ps1。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3. 测试结果位置：Agent/tests/results。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4. 本地运行产物 .venv、node_modules、dist、storage、日志不纳入上传交付。</w:t>
      </w:r>
    </w:p>
    <w:p>
      <w:pPr>
        <w:sectPr>
          <w:pgSz w:w="12240" w:h="15840"/>
          <w:pgMar w:top="1247" w:right="1361" w:bottom="1134" w:left="1361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