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40"/>
        <w:jc w:val="center"/>
      </w:pPr>
      <w:r>
        <w:rPr>
          <w:rFonts w:ascii="Times New Roman" w:hAnsi="Times New Roman" w:eastAsia="宋体"/>
          <w:b/>
          <w:color w:val="4B4B4B"/>
          <w:sz w:val="28"/>
        </w:rPr>
        <w:t>项目说明报告</w:t>
      </w:r>
    </w:p>
    <w:p>
      <w:pPr>
        <w:spacing w:after="280"/>
        <w:jc w:val="center"/>
      </w:pPr>
      <w:r>
        <w:rPr>
          <w:rFonts w:ascii="Times New Roman" w:hAnsi="Times New Roman" w:eastAsia="宋体"/>
          <w:b/>
          <w:sz w:val="44"/>
        </w:rPr>
        <w:t>农村生活污水 PPP 智能考核与报告生成项目</w:t>
      </w:r>
    </w:p>
    <w:p>
      <w:pPr>
        <w:spacing w:after="600"/>
        <w:jc w:val="center"/>
      </w:pPr>
      <w:r>
        <w:rPr>
          <w:rFonts w:ascii="Times New Roman" w:hAnsi="Times New Roman" w:eastAsia="宋体"/>
          <w:b w:val="0"/>
          <w:color w:val="505050"/>
          <w:sz w:val="24"/>
        </w:rPr>
        <w:t>面向镇街现场考核、资料核验、资金核算及正式报告交付的一体化工作平台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建设对象</w:t>
            </w:r>
          </w:p>
        </w:tc>
        <w:tc>
          <w:tcPr>
            <w:tcW w:type="dxa" w:w="6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农村生活污水处理设施 PPP 绩效考核工作</w:t>
            </w:r>
          </w:p>
        </w:tc>
      </w:tr>
      <w:tr>
        <w:tc>
          <w:tcPr>
            <w:tcW w:type="dxa" w:w="192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交付目标</w:t>
            </w:r>
          </w:p>
        </w:tc>
        <w:tc>
          <w:tcPr>
            <w:tcW w:type="dxa" w:w="6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将现场评分和资料包转化为可核验的正式 DOCX 考核报告</w:t>
            </w:r>
          </w:p>
        </w:tc>
      </w:tr>
      <w:tr>
        <w:tc>
          <w:tcPr>
            <w:tcW w:type="dxa" w:w="192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版本说明</w:t>
            </w:r>
          </w:p>
        </w:tc>
        <w:tc>
          <w:tcPr>
            <w:tcW w:type="dxa" w:w="6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依据当前本地 skills、后台前端及移动端原型梳理</w:t>
            </w:r>
          </w:p>
        </w:tc>
      </w:tr>
    </w:tbl>
    <w:p>
      <w:r>
        <w:br w:type="page"/>
      </w: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一、项目定位和建设目标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本项目面向农村生活污水处理设施 PPP 绩效考核业务，建设“现场采集—考核评分—资料核验—金额核算—报告生成”的一体化工作平台。其核心目标是将原本分散在现场照片、调查问卷、水质抽检记录、评分表和合同金额表中的信息，按统一考核口径沉淀为可复核的数据资料，并自动形成符合正式报告格式的考核成果。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平台服务于镇街和村级设施考核场景。对于每一个镇街，系统以村点为最小记录单元，先确定考核对象为污水处理设施或纳厂/管网设施，再完成相应设施评分、调查问卷和水质抽检信息采集；随后将镇街资料包导入后台，完成数据识别、评分复核、资金计算和报告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75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type="dxa" w:w="6633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项目要解决的问题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统一考核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将独立污水处理设施与纳厂/接入已建设施的管网设施分别对应适用的评价标准，避免分值和扣分规则混用。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规范采集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将镇名、村名、扣分项目、扣分原因、现场照片、问卷结果和水质抽检情况纳入同一数据链路。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可核验计算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依据单站得分、Ec1/Ec2 系数、合同或金额基础表，形成可追溯的应付金额和扣减金额。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自动成文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以既有正式报告为格式和语气参考，根据本次资料生成镇街报告；多镇任务同时生成汇总报告。</w:t>
            </w:r>
          </w:p>
        </w:tc>
      </w:tr>
    </w:tbl>
    <w:p>
      <w:pPr>
        <w:spacing w:after="20"/>
      </w:pP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二、适用对象和使用场景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5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使用角色</w:t>
            </w:r>
          </w:p>
        </w:tc>
        <w:tc>
          <w:tcPr>
            <w:tcW w:type="dxa" w:w="243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主要工作</w:t>
            </w:r>
          </w:p>
        </w:tc>
        <w:tc>
          <w:tcPr>
            <w:tcW w:type="dxa" w:w="4195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系统支撑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现场考核人员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在镇街、村点完成设施检查、问卷及水质信息录入。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移动端逐项评分、照片上传、原因填写、完成状态提示。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考核组织人员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汇集多个村点和镇街资料，确认资料是否齐全。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数据看板查看镇街进度、评分详情及已完成资料。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报告编制人员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将资料包转换为正式考核报告，并核对金额。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后台上传资料包，选填新金额方法，按镇生成报告或汇总报告。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项目管理及审核人员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复核考核依据、扣分逻辑、资金测算及成品报告。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保留评分细则、数据来源、计算口径、报告历史和下载入口。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典型使用方式包括两类：一是外业人员使用移动端完成全镇街村点考核后，导出镇街考核数据包；二是报告人员直接上传已整理的镇街资料包。两类数据最终都应进入同一后台生成链路，以便形成统一的正式成果。</w:t>
      </w: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三、总体业务流程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566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type="dxa" w:w="260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业务动作</w:t>
            </w:r>
          </w:p>
        </w:tc>
        <w:tc>
          <w:tcPr>
            <w:tcW w:type="dxa" w:w="5215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形成的数据或成果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确定镇街和村点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镇名、村名、考核批次和村点清单。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选择设施对象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在“污水处理设施”与“纳厂/管网设施”中二选一，确定适用标准。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完成现场评分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逐项填写扣分原因，上传现场照片；无扣分时保留“不扣分”状态。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补充调查和水质资料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调查问卷用于回填污水收集、整体效果及满意度指标；水质抽检用于核对处理质量指标。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导出或上传资料包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形成包含设施类型、村点得分、扣分记录及水质信息的镇街数据包，或上传已整理附件。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后台核验与金额计算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识别镇街、抽取考核数据，按默认或本期提供的金额方法计算应付金额和扣减金额。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生成和检查报告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按正式报告模板生成 DOCX，完成文件名、表格序号、字体、金额和串镇检查。</w:t>
            </w:r>
          </w:p>
        </w:tc>
      </w:tr>
    </w:tbl>
    <w:p>
      <w:pPr>
        <w:spacing w:after="20"/>
      </w:pP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四、两端产品分工和数据关系</w:t>
      </w:r>
    </w:p>
    <w:p>
      <w:pPr>
        <w:spacing w:before="18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（一）移动端：现场考核数据入口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移动端以“镇街—村点—设施类型—评分项目”的层级组织现场工作。进入村点后，考核人员先选择本村适用的设施类型；系统随后仅展示该设施类型、调查问卷和水质抽检情况三类工作项。选定设施类型按 100 分制计分，调查问卷和水质抽检为正式指标的资料来源，不作为重复计分大项。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现场评分项目按一级、二级、三级指标展示，并保留评分标准、评分方法、数据来源和计算方法。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每个扣分项目支持照片与扣分原因记录；扣分范围可精确至 0.1 分。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调查问卷包括污水收集评分、整体效果评分、满意度评分三类；水质抽检单列填写完成状态及检测结论。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完成全镇村点考核后，移动端导出 JSON 格式镇街考核数据包，包含镇街、村点、设施类型、得分、扣分记录及水质信息。</w:t>
      </w:r>
    </w:p>
    <w:p>
      <w:pPr>
        <w:spacing w:before="18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（二）后台：资料处理和报告交付入口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后台已配置数据看板、资料包上传、生成报告和历史报告等页面。资料包上传流程以“资料包文件”为必填项，“新的金额计算方法”为选填项；未提供新方法时，系统按内置默认金额计算方法继续处理。输出可选择按镇街分别生成报告，并在多个镇街同时处理时额外生成汇总报告。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数据看板用于展示镇街调研进度和评分详情。后台评分详情应根据移动端导入的设施类型，仅显示“污水处理设施”或“管网设施”其中一项，并同步显示调查问卷和水质抽检资料状态。</w:t>
      </w: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五、业务技能分工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90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技能</w:t>
            </w:r>
          </w:p>
        </w:tc>
        <w:tc>
          <w:tcPr>
            <w:tcW w:type="dxa" w:w="3401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业务职责</w:t>
            </w:r>
          </w:p>
        </w:tc>
        <w:tc>
          <w:tcPr>
            <w:tcW w:type="dxa" w:w="4081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在项目中的作用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考核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依据 1.1.1 考核标准，将现场问题、问卷、水质和台账资料映射到对应的一级、二级、三级指标。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保证污水处理设施与纳厂/管网设施使用不同标准；处理加权评分和百分制折算。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规范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使用既有正文作为格式和语气参考，形成客观、正式、第三方口径的报告正文。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负责第二章等考核文字的正式表述，不沿用旧正文中的旧镇街数据和结论。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金额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从单站得分换算 Ec1/Ec2，结合可用性付费和运维服务费基础数据计算应付金额及扣减金额。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支持本期新合同或补充协议优先；资料未提供时使用保存的通用金额基础数据。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汇总本次资料、考核结果和金额结果，生成正式 DOCX 报告并执行格式和数据检查。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单镇生成单镇报告；多镇任务增加共性问题分析和汇总报告。</w:t>
            </w:r>
          </w:p>
        </w:tc>
      </w:tr>
    </w:tbl>
    <w:p>
      <w:pPr>
        <w:spacing w:after="20"/>
      </w:pP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六、输入、处理和输出</w:t>
      </w:r>
    </w:p>
    <w:p>
      <w:pPr>
        <w:spacing w:before="18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（一）输入资料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镇街资料包：可包含村级设施评分表、现场照片、运维台账、水质检测、调查问卷、镇政府评分及项目公司资料。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移动端考核数据包：包含设施类型、村点评分、扣分原因、照片关联信息、调查问卷和水质抽检记录。</w:t>
      </w:r>
    </w:p>
    <w:p>
      <w:pPr>
        <w:spacing w:after="80" w:line="300" w:lineRule="auto"/>
        <w:ind w:left="420" w:hanging="210"/>
        <w:jc w:val="left"/>
      </w:pPr>
      <w:r>
        <w:rPr>
          <w:rFonts w:ascii="Times New Roman" w:hAnsi="Times New Roman" w:eastAsia="宋体"/>
          <w:b w:val="0"/>
          <w:sz w:val="21"/>
        </w:rPr>
        <w:t>• 金额计算方法：如本期存在新的合同、补充协议或金额基础表，可作为选填资料上传并优先采用。</w:t>
      </w:r>
    </w:p>
    <w:p>
      <w:pPr>
        <w:spacing w:before="18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（二）处理规则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评分处理遵循考核标准既定分值和公式。问卷、镇政府代表和考核小组共同评分的项目按标准表加权计算；水质、档案、维护、安全、财务和信息公开等项目需有相应资料来源支撑。金额处理以抽检设施得分换算 Ec1/Ec2，并按镇级算术平均、服务费基数和考核周期计算。</w:t>
      </w:r>
    </w:p>
    <w:p>
      <w:pPr>
        <w:spacing w:before="18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（三）最终输出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75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输出类型</w:t>
            </w:r>
          </w:p>
        </w:tc>
        <w:tc>
          <w:tcPr>
            <w:tcW w:type="dxa" w:w="6633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交付内容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镇街正式报告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每个镇街一份 DOCX，包含基本情况、考核情况、问题描述、绩效评价表及金额相关章节。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汇总报告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当一次处理多个镇街时，形成跨镇汇总成果和共性问题分析，例证仅引用本次资料。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核算结果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提供单站得分、Ec1/Ec2、可用性付费、运维服务费、扣减金额和应付金额的计算过程。</w:t>
            </w:r>
          </w:p>
        </w:tc>
      </w:tr>
      <w:tr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可追溯资料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保留资料包、评分依据、数据来源和生成记录，便于后续复核和归档。</w:t>
            </w:r>
          </w:p>
        </w:tc>
      </w:tr>
    </w:tbl>
    <w:p>
      <w:pPr>
        <w:spacing w:after="20"/>
      </w:pP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七、当前系统现状和后续建设边界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移动端和后台前端已完成主要业务流程原型、考核项目展示、现场采集界面、数据看板界面以及报告生成交互流程。前端中已内置污水处理设施、管网设施、调查问卷和水质抽检的业务组织方式，并已将考核标准字段用于评分详情展示。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需要由后端和 Agent 服务继续承接的部分包括：移动端导出的数据包自动入库并同步至后台数据看板；资料附件的解析、识别和证据抽取；调用大模型和三个业务技能执行考核判断、金额核算、正文生成；DOCX 文件生成、校验、存储、下载及权限管理。当前后台对“尚未读取到移动端选择的设施类型”的提示，即为该移动端数据包接入链路的明确预留位置。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417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建设项</w:t>
            </w:r>
          </w:p>
        </w:tc>
        <w:tc>
          <w:tcPr>
            <w:tcW w:type="dxa" w:w="3401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建议实现方式</w:t>
            </w:r>
          </w:p>
        </w:tc>
        <w:tc>
          <w:tcPr>
            <w:tcW w:type="dxa" w:w="3571"/>
            <w:shd w:fill="E8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完成标志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数据接入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约定移动端 JSON 数据包接口，并建立资料包解析和镇街识别服务。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移动端提交后，后台看板自动显示镇街、设施类型、村点进度和评分。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编排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按“考核—规范—金额—报告”顺序调用技能，并保留中间结构化结果。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同一资料包可稳定复现评分、金额和报告结论。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文档交付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基于正式底稿模板生成 DOCX，并执行字体、表格序号、金额、串镇和文件名检查。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用户可下载符合正式报告要求的镇街报告和汇总报告。</w:t>
            </w:r>
          </w:p>
        </w:tc>
      </w:tr>
      <w:tr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运营治理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增加任务状态、失败提示、资料完整性校验、版本留痕和权限控制。</w:t>
            </w:r>
          </w:p>
        </w:tc>
        <w:tc>
          <w:tcPr>
            <w:tcW w:type="dxa" w:w="2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可追溯每份报告的输入资料、计算方法和生成时间。</w:t>
            </w:r>
          </w:p>
        </w:tc>
      </w:tr>
    </w:tbl>
    <w:p>
      <w:pPr>
        <w:spacing w:after="20"/>
      </w:pPr>
    </w:p>
    <w:p>
      <w:pPr>
        <w:spacing w:before="260" w:after="120" w:line="276" w:lineRule="auto"/>
        <w:jc w:val="left"/>
      </w:pPr>
      <w:r>
        <w:rPr>
          <w:rFonts w:ascii="Times New Roman" w:hAnsi="Times New Roman" w:eastAsia="宋体"/>
          <w:b/>
          <w:sz w:val="28"/>
        </w:rPr>
        <w:t>八、预期成效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项目建成后，将把农村生活污水 PPP 绩效考核从“人工收集资料、人工对照标准、人工计算金额、人工编写报告”的串行工作，转化为以统一资料包和标准化数据为基础的协同流程。现场人员能够更完整地记录证据，管理人员能够更快掌握镇街进度，报告人员能够在统一口径下完成核算和成文，审核人员也能沿着资料来源、评分依据和计算过程进行复核。</w:t>
      </w:r>
    </w:p>
    <w:p>
      <w:pPr>
        <w:spacing w:before="0" w:after="120" w:line="324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最终形成的不是单一的报告生成工具，而是一套以考核标准为约束、以现场资料为依据、以金额核算为结果、以正式报告为交付物的农村生活污水 PPP 绩效考核数字化工作机制。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361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b w:val="0"/>
        <w:color w:val="646464"/>
        <w:sz w:val="17"/>
      </w:rPr>
      <w:t>项目说明文件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宋体"/>
        <w:b w:val="0"/>
        <w:color w:val="646464"/>
        <w:sz w:val="17"/>
      </w:rPr>
      <w:t>农村生活污水 PPP 智能考核与报告生成项目说明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