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color w:val="000000"/>
          <w:sz w:val="44"/>
        </w:rPr>
        <w:t>Báo cáo tiến độ hệ thống AIP</w:t>
      </w:r>
    </w:p>
    <w:p>
      <w:r>
        <w:rPr>
          <w:b/>
        </w:rPr>
        <w:t xml:space="preserve">Mục tiêu. </w:t>
      </w:r>
      <w:r>
        <w:t>Hệ thống hỗ trợ người thẩm định đọc claim sáng chế, tìm tài liệu cũ liên quan và chỉ ra đoạn văn cần kiểm tra. Hệ thống không tự đưa ra kết luận pháp lý.</w:t>
      </w:r>
    </w:p>
    <w:p>
      <w:pPr>
        <w:pStyle w:val="Heading1"/>
      </w:pPr>
      <w:r>
        <w:t>Hệ thống hiện làm được gì</w:t>
      </w:r>
    </w:p>
    <w:p>
      <w:pPr>
        <w:pStyle w:val="ListBullet"/>
      </w:pPr>
      <w:r>
        <w:t>Đọc claim tiếng Việt bằng OCR hybrid: Tesseract vie_best là chính, PP OCRv6 hỗ trợ; có bước sửa lỗi thận trọng.</w:t>
      </w:r>
    </w:p>
    <w:p>
      <w:pPr>
        <w:pStyle w:val="ListBullet"/>
      </w:pPr>
      <w:r>
        <w:t>Lưu dữ liệu kèm ngày ưu tiên, family, nguồn và mã kiểm tra để tránh dùng nhầm tài liệu.</w:t>
      </w:r>
    </w:p>
    <w:p>
      <w:pPr>
        <w:pStyle w:val="ListBullet"/>
      </w:pPr>
      <w:r>
        <w:t>Dịch claim sang tiếng Anh bằng Qwen3 8B Q4 khi cần; tách claim thành các feature để tìm từng ý kỹ thuật.</w:t>
      </w:r>
    </w:p>
    <w:p>
      <w:pPr>
        <w:pStyle w:val="ListBullet"/>
      </w:pPr>
      <w:r>
        <w:t>Tìm tài liệu và đoạn văn liên quan; Qwen3.5 4B chấm mức độ bằng chứng cho mỗi feature.</w:t>
      </w:r>
    </w:p>
    <w:p>
      <w:pPr>
        <w:pStyle w:val="ListBullet"/>
      </w:pPr>
      <w:r>
        <w:t>Gemini 3.5 Flash Lite đọc bảng feature và bằng chứng, rồi viết nhận xét cho từng tài liệu Top 5. Bước này tắt mặc định cho đến khi có API key.</w:t>
      </w:r>
    </w:p>
    <w:p>
      <w:pPr>
        <w:pStyle w:val="Heading1"/>
      </w:pPr>
      <w:r>
        <w:t>Kết quả thử nghiệm đã có</w:t>
      </w:r>
    </w:p>
    <w:p>
      <w:r>
        <w:rPr>
          <w:i/>
        </w:rPr>
        <w:t>Các phép thử dưới đây đo từng phần riêng; chưa phải một lần chạy nối từ OCR đến nhận xét Gemini.</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F4E78"/>
            <w:vAlign w:val="center"/>
          </w:tcPr>
          <w:p>
            <w:pPr>
              <w:spacing w:after="0"/>
            </w:pPr>
            <w:r/>
            <w:r>
              <w:rPr>
                <w:rFonts w:ascii="Aptos" w:hAnsi="Aptos"/>
                <w:b/>
                <w:color w:val="FFFFFF"/>
                <w:sz w:val="18"/>
              </w:rPr>
              <w:t>Phần thử</w:t>
            </w:r>
          </w:p>
        </w:tc>
        <w:tc>
          <w:tcPr>
            <w:tcW w:type="dxa" w:w="3400"/>
            <w:shd w:fill="1F4E78"/>
            <w:vAlign w:val="center"/>
          </w:tcPr>
          <w:p>
            <w:pPr>
              <w:spacing w:after="0"/>
            </w:pPr>
            <w:r/>
            <w:r>
              <w:rPr>
                <w:rFonts w:ascii="Aptos" w:hAnsi="Aptos"/>
                <w:b/>
                <w:color w:val="FFFFFF"/>
                <w:sz w:val="18"/>
              </w:rPr>
              <w:t>Dữ liệu thử</w:t>
            </w:r>
          </w:p>
        </w:tc>
        <w:tc>
          <w:tcPr>
            <w:tcW w:type="dxa" w:w="3400"/>
            <w:shd w:fill="1F4E78"/>
            <w:vAlign w:val="center"/>
          </w:tcPr>
          <w:p>
            <w:pPr>
              <w:spacing w:after="0"/>
            </w:pPr>
            <w:r/>
            <w:r>
              <w:rPr>
                <w:rFonts w:ascii="Aptos" w:hAnsi="Aptos"/>
                <w:b/>
                <w:color w:val="FFFFFF"/>
                <w:sz w:val="18"/>
              </w:rPr>
              <w:t>Kết quả chính</w:t>
            </w:r>
          </w:p>
        </w:tc>
      </w:tr>
      <w:tr>
        <w:tc>
          <w:tcPr>
            <w:tcW w:type="dxa" w:w="3400"/>
            <w:vAlign w:val="center"/>
          </w:tcPr>
          <w:p>
            <w:pPr>
              <w:spacing w:after="0"/>
            </w:pPr>
            <w:r/>
            <w:r>
              <w:rPr>
                <w:rFonts w:ascii="Aptos" w:hAnsi="Aptos"/>
                <w:b w:val="0"/>
                <w:sz w:val="17"/>
              </w:rPr>
              <w:t>Tách feature Gemini</w:t>
            </w:r>
          </w:p>
        </w:tc>
        <w:tc>
          <w:tcPr>
            <w:tcW w:type="dxa" w:w="3400"/>
            <w:vAlign w:val="center"/>
          </w:tcPr>
          <w:p>
            <w:pPr>
              <w:spacing w:after="0"/>
            </w:pPr>
            <w:r/>
            <w:r>
              <w:rPr>
                <w:rFonts w:ascii="Aptos" w:hAnsi="Aptos"/>
                <w:b w:val="0"/>
                <w:sz w:val="17"/>
              </w:rPr>
              <w:t>100 claim</w:t>
            </w:r>
          </w:p>
        </w:tc>
        <w:tc>
          <w:tcPr>
            <w:tcW w:type="dxa" w:w="3400"/>
            <w:vAlign w:val="center"/>
          </w:tcPr>
          <w:p>
            <w:pPr>
              <w:spacing w:after="0"/>
            </w:pPr>
            <w:r/>
            <w:r>
              <w:rPr>
                <w:rFonts w:ascii="Aptos" w:hAnsi="Aptos"/>
                <w:b w:val="0"/>
                <w:sz w:val="17"/>
              </w:rPr>
              <w:t>F1 khớp feature 71,2%; ranh giới chính xác 80,9%; cho phép lệch 5 ký tự 89,4%.</w:t>
            </w:r>
          </w:p>
        </w:tc>
      </w:tr>
      <w:tr>
        <w:tc>
          <w:tcPr>
            <w:tcW w:type="dxa" w:w="3400"/>
            <w:shd w:fill="EAF2F8"/>
            <w:vAlign w:val="center"/>
          </w:tcPr>
          <w:p>
            <w:pPr>
              <w:spacing w:after="0"/>
            </w:pPr>
            <w:r/>
            <w:r>
              <w:rPr>
                <w:rFonts w:ascii="Aptos" w:hAnsi="Aptos"/>
                <w:b w:val="0"/>
                <w:sz w:val="17"/>
              </w:rPr>
              <w:t>Tách feature Qwen3 8B local</w:t>
            </w:r>
          </w:p>
        </w:tc>
        <w:tc>
          <w:tcPr>
            <w:tcW w:type="dxa" w:w="3400"/>
            <w:shd w:fill="EAF2F8"/>
            <w:vAlign w:val="center"/>
          </w:tcPr>
          <w:p>
            <w:pPr>
              <w:spacing w:after="0"/>
            </w:pPr>
            <w:r/>
            <w:r>
              <w:rPr>
                <w:rFonts w:ascii="Aptos" w:hAnsi="Aptos"/>
                <w:b w:val="0"/>
                <w:sz w:val="17"/>
              </w:rPr>
              <w:t>100 claim</w:t>
            </w:r>
          </w:p>
        </w:tc>
        <w:tc>
          <w:tcPr>
            <w:tcW w:type="dxa" w:w="3400"/>
            <w:shd w:fill="EAF2F8"/>
            <w:vAlign w:val="center"/>
          </w:tcPr>
          <w:p>
            <w:pPr>
              <w:spacing w:after="0"/>
            </w:pPr>
            <w:r/>
            <w:r>
              <w:rPr>
                <w:rFonts w:ascii="Aptos" w:hAnsi="Aptos"/>
                <w:b w:val="0"/>
                <w:sz w:val="17"/>
              </w:rPr>
              <w:t>F1 khớp feature 35,3%; ranh giới chính xác 13,0%; cho phép lệch 5 ký tự 70,9%.</w:t>
            </w:r>
          </w:p>
        </w:tc>
      </w:tr>
      <w:tr>
        <w:tc>
          <w:tcPr>
            <w:tcW w:type="dxa" w:w="3400"/>
            <w:vAlign w:val="center"/>
          </w:tcPr>
          <w:p>
            <w:pPr>
              <w:spacing w:after="0"/>
            </w:pPr>
            <w:r/>
            <w:r>
              <w:rPr>
                <w:rFonts w:ascii="Aptos" w:hAnsi="Aptos"/>
                <w:b w:val="0"/>
                <w:sz w:val="17"/>
              </w:rPr>
              <w:t>Tìm tài liệu prior art</w:t>
            </w:r>
          </w:p>
        </w:tc>
        <w:tc>
          <w:tcPr>
            <w:tcW w:type="dxa" w:w="3400"/>
            <w:vAlign w:val="center"/>
          </w:tcPr>
          <w:p>
            <w:pPr>
              <w:spacing w:after="0"/>
            </w:pPr>
            <w:r/>
            <w:r>
              <w:rPr>
                <w:rFonts w:ascii="Aptos" w:hAnsi="Aptos"/>
                <w:b w:val="0"/>
                <w:sz w:val="17"/>
              </w:rPr>
              <w:t>100 claim; kho FiNE đóng gồm 3.100 tài liệu ứng viên</w:t>
            </w:r>
          </w:p>
        </w:tc>
        <w:tc>
          <w:tcPr>
            <w:tcW w:type="dxa" w:w="3400"/>
            <w:vAlign w:val="center"/>
          </w:tcPr>
          <w:p>
            <w:pPr>
              <w:spacing w:after="0"/>
            </w:pPr>
            <w:r/>
            <w:r>
              <w:rPr>
                <w:rFonts w:ascii="Aptos" w:hAnsi="Aptos"/>
                <w:b w:val="0"/>
                <w:sz w:val="17"/>
              </w:rPr>
              <w:t>BM25 toàn văn + BGE M3 + RRF: Top 200 93%; Top 10 62%; MRR 0,391.</w:t>
            </w:r>
          </w:p>
        </w:tc>
      </w:tr>
      <w:tr>
        <w:tc>
          <w:tcPr>
            <w:tcW w:type="dxa" w:w="3400"/>
            <w:shd w:fill="EAF2F8"/>
            <w:vAlign w:val="center"/>
          </w:tcPr>
          <w:p>
            <w:pPr>
              <w:spacing w:after="0"/>
            </w:pPr>
            <w:r/>
            <w:r>
              <w:rPr>
                <w:rFonts w:ascii="Aptos" w:hAnsi="Aptos"/>
                <w:b w:val="0"/>
                <w:sz w:val="17"/>
              </w:rPr>
              <w:t>Tìm passage</w:t>
            </w:r>
          </w:p>
        </w:tc>
        <w:tc>
          <w:tcPr>
            <w:tcW w:type="dxa" w:w="3400"/>
            <w:shd w:fill="EAF2F8"/>
            <w:vAlign w:val="center"/>
          </w:tcPr>
          <w:p>
            <w:pPr>
              <w:spacing w:after="0"/>
            </w:pPr>
            <w:r/>
            <w:r>
              <w:rPr>
                <w:rFonts w:ascii="Aptos" w:hAnsi="Aptos"/>
                <w:b w:val="0"/>
                <w:sz w:val="17"/>
              </w:rPr>
              <w:t>406 feature có nhãn</w:t>
            </w:r>
          </w:p>
        </w:tc>
        <w:tc>
          <w:tcPr>
            <w:tcW w:type="dxa" w:w="3400"/>
            <w:shd w:fill="EAF2F8"/>
            <w:vAlign w:val="center"/>
          </w:tcPr>
          <w:p>
            <w:pPr>
              <w:spacing w:after="0"/>
            </w:pPr>
            <w:r/>
            <w:r>
              <w:rPr>
                <w:rFonts w:ascii="Aptos" w:hAnsi="Aptos"/>
                <w:b w:val="0"/>
                <w:sz w:val="17"/>
              </w:rPr>
              <w:t>Hit at 10 là 52,2% ở phép replay ưu tiên phần mô tả; raw RRF là 45,8%.</w:t>
            </w:r>
          </w:p>
        </w:tc>
      </w:tr>
      <w:tr>
        <w:tc>
          <w:tcPr>
            <w:tcW w:type="dxa" w:w="3400"/>
            <w:vAlign w:val="center"/>
          </w:tcPr>
          <w:p>
            <w:pPr>
              <w:spacing w:after="0"/>
            </w:pPr>
            <w:r/>
            <w:r>
              <w:rPr>
                <w:rFonts w:ascii="Aptos" w:hAnsi="Aptos"/>
                <w:b w:val="0"/>
                <w:sz w:val="17"/>
              </w:rPr>
              <w:t>Qwen3.5 4B chọn evidence</w:t>
            </w:r>
          </w:p>
        </w:tc>
        <w:tc>
          <w:tcPr>
            <w:tcW w:type="dxa" w:w="3400"/>
            <w:vAlign w:val="center"/>
          </w:tcPr>
          <w:p>
            <w:pPr>
              <w:spacing w:after="0"/>
            </w:pPr>
            <w:r/>
            <w:r>
              <w:rPr>
                <w:rFonts w:ascii="Aptos" w:hAnsi="Aptos"/>
                <w:b w:val="0"/>
                <w:sz w:val="17"/>
              </w:rPr>
              <w:t>93 feature thăm dò</w:t>
            </w:r>
          </w:p>
        </w:tc>
        <w:tc>
          <w:tcPr>
            <w:tcW w:type="dxa" w:w="3400"/>
            <w:vAlign w:val="center"/>
          </w:tcPr>
          <w:p>
            <w:pPr>
              <w:spacing w:after="0"/>
            </w:pPr>
            <w:r/>
            <w:r>
              <w:rPr>
                <w:rFonts w:ascii="Aptos" w:hAnsi="Aptos"/>
                <w:b w:val="0"/>
                <w:sz w:val="17"/>
              </w:rPr>
              <w:t>E1 đạt 54/93, tương đương 58,1% khi tính 5 lần dự phòng; 51/88 phản hồi hợp lệ.</w:t>
            </w:r>
          </w:p>
        </w:tc>
      </w:tr>
    </w:tbl>
    <w:p>
      <w:pPr>
        <w:pStyle w:val="Heading1"/>
      </w:pPr>
      <w:r>
        <w:t>Dữ liệu đã dùng</w:t>
      </w:r>
    </w:p>
    <w:p>
      <w:r>
        <w:t>Các benchmark có nhãn dùng FiNE Patents: 100 claim cho tách feature và tìm tài liệu; 406 feature cho passage; một tập nhỏ 93 feature để thử prompt evidence. Kho dự án còn có snapshot 41.355 tài liệu prior art tiếng Anh, nhưng nhãn FiNE không khớp trực tiếp để chấm retrieval trên kho này.</w:t>
      </w:r>
    </w:p>
    <w:p>
      <w:pPr>
        <w:pStyle w:val="Heading1"/>
      </w:pPr>
      <w:r>
        <w:t>Tiến độ và việc tiếp theo</w:t>
      </w:r>
    </w:p>
    <w:p>
      <w:r>
        <w:t>Khung pipeline đã có đủ các bước từ OCR đến nhận xét Gemini. Việc còn lại quan trọng nhất là nối cấu hình retrieval BM25 + BGE M3 + RRF vào pipeline mới, bật Gemini trên một tập kiểm thử cố định, rồi đo một lần chạy end to end. Khi đó mới có thể nói rõ kết quả cuối cùng của toàn hệ thống.</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