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A4117" w14:textId="77777777" w:rsidR="00C3770D" w:rsidRPr="00C3770D" w:rsidRDefault="00C3770D" w:rsidP="00C3770D">
      <w:r w:rsidRPr="00C3770D">
        <w:t>The determination of medical necessity for Haglund's deformity surgery typically depends on the failure of a prolonged course of conservative (non-surgical) treatments. Surgical intervention is generally considered a last resort for patients who continue to experience significant, persistent pain and functional limitations. </w:t>
      </w:r>
    </w:p>
    <w:p w14:paraId="470FE48D" w14:textId="77777777" w:rsidR="00C3770D" w:rsidRPr="00C3770D" w:rsidRDefault="00C3770D" w:rsidP="00C3770D">
      <w:pPr>
        <w:rPr>
          <w:b/>
          <w:bCs/>
        </w:rPr>
      </w:pPr>
      <w:r w:rsidRPr="00C3770D">
        <w:rPr>
          <w:b/>
          <w:bCs/>
        </w:rPr>
        <w:t>Non-surgical treatment failure</w:t>
      </w:r>
    </w:p>
    <w:p w14:paraId="47BFBCDB" w14:textId="77777777" w:rsidR="00C3770D" w:rsidRPr="00C3770D" w:rsidRDefault="00C3770D" w:rsidP="00C3770D">
      <w:r w:rsidRPr="00C3770D">
        <w:t>For Haglund's deformity surgery to be deemed medically necessary, patients must have undergone and failed conservative therapies for a substantial period, often cited as six months or longer. These conservative treatments aim to reduce inflammation and relieve pressure on the heel bone and bursa: </w:t>
      </w:r>
    </w:p>
    <w:p w14:paraId="21BCE9EA" w14:textId="77777777" w:rsidR="00C3770D" w:rsidRPr="00C3770D" w:rsidRDefault="00C3770D" w:rsidP="00C3770D">
      <w:pPr>
        <w:numPr>
          <w:ilvl w:val="0"/>
          <w:numId w:val="1"/>
        </w:numPr>
      </w:pPr>
      <w:r w:rsidRPr="00C3770D">
        <w:rPr>
          <w:b/>
          <w:bCs/>
        </w:rPr>
        <w:t>Medication:</w:t>
      </w:r>
      <w:r w:rsidRPr="00C3770D">
        <w:t> Oral nonsteroidal anti-inflammatory drugs (NSAIDs) to reduce pain and inflammation.</w:t>
      </w:r>
    </w:p>
    <w:p w14:paraId="67666D01" w14:textId="77777777" w:rsidR="00C3770D" w:rsidRPr="00C3770D" w:rsidRDefault="00C3770D" w:rsidP="00C3770D">
      <w:pPr>
        <w:numPr>
          <w:ilvl w:val="0"/>
          <w:numId w:val="1"/>
        </w:numPr>
      </w:pPr>
      <w:r w:rsidRPr="00C3770D">
        <w:rPr>
          <w:b/>
          <w:bCs/>
        </w:rPr>
        <w:t>Activity modification:</w:t>
      </w:r>
      <w:r w:rsidRPr="00C3770D">
        <w:t> Limiting activities that aggravate the heel, such as running on hard surfaces or uphill.</w:t>
      </w:r>
    </w:p>
    <w:p w14:paraId="5F70A5A4" w14:textId="77777777" w:rsidR="00C3770D" w:rsidRPr="00C3770D" w:rsidRDefault="00C3770D" w:rsidP="00C3770D">
      <w:pPr>
        <w:numPr>
          <w:ilvl w:val="0"/>
          <w:numId w:val="1"/>
        </w:numPr>
      </w:pPr>
      <w:r w:rsidRPr="00C3770D">
        <w:rPr>
          <w:b/>
          <w:bCs/>
        </w:rPr>
        <w:t>Shoe modifications:</w:t>
      </w:r>
      <w:r w:rsidRPr="00C3770D">
        <w:t xml:space="preserve"> Wearing shoes without rigid heel </w:t>
      </w:r>
      <w:proofErr w:type="gramStart"/>
      <w:r w:rsidRPr="00C3770D">
        <w:t>counters, or</w:t>
      </w:r>
      <w:proofErr w:type="gramEnd"/>
      <w:r w:rsidRPr="00C3770D">
        <w:t xml:space="preserve"> using heel pads and lifts to reduce pressure and friction.</w:t>
      </w:r>
    </w:p>
    <w:p w14:paraId="7F8F5C17" w14:textId="77777777" w:rsidR="00C3770D" w:rsidRPr="00C3770D" w:rsidRDefault="00C3770D" w:rsidP="00C3770D">
      <w:pPr>
        <w:numPr>
          <w:ilvl w:val="0"/>
          <w:numId w:val="1"/>
        </w:numPr>
      </w:pPr>
      <w:r w:rsidRPr="00C3770D">
        <w:rPr>
          <w:b/>
          <w:bCs/>
        </w:rPr>
        <w:t>Physical therapy:</w:t>
      </w:r>
      <w:r w:rsidRPr="00C3770D">
        <w:t> Stretching and strengthening exercises for the Achilles tendon and calf muscles.</w:t>
      </w:r>
    </w:p>
    <w:p w14:paraId="39CCE48E" w14:textId="77777777" w:rsidR="00C3770D" w:rsidRPr="00C3770D" w:rsidRDefault="00C3770D" w:rsidP="00C3770D">
      <w:pPr>
        <w:numPr>
          <w:ilvl w:val="0"/>
          <w:numId w:val="1"/>
        </w:numPr>
      </w:pPr>
      <w:r w:rsidRPr="00C3770D">
        <w:rPr>
          <w:b/>
          <w:bCs/>
        </w:rPr>
        <w:t>Immobilization:</w:t>
      </w:r>
      <w:r w:rsidRPr="00C3770D">
        <w:t> In severe cases, a cast or walking boot may be used to allow the area to heal.</w:t>
      </w:r>
    </w:p>
    <w:p w14:paraId="0468DB5B" w14:textId="77777777" w:rsidR="00C3770D" w:rsidRPr="00C3770D" w:rsidRDefault="00C3770D" w:rsidP="00C3770D">
      <w:pPr>
        <w:numPr>
          <w:ilvl w:val="0"/>
          <w:numId w:val="1"/>
        </w:numPr>
      </w:pPr>
      <w:r w:rsidRPr="00C3770D">
        <w:rPr>
          <w:b/>
          <w:bCs/>
        </w:rPr>
        <w:t>Orthotics:</w:t>
      </w:r>
      <w:r w:rsidRPr="00C3770D">
        <w:t> Custom arch supports to control foot motion and reduce stress on the heel. </w:t>
      </w:r>
    </w:p>
    <w:p w14:paraId="45B3D546" w14:textId="77777777" w:rsidR="00C3770D" w:rsidRPr="00C3770D" w:rsidRDefault="00C3770D" w:rsidP="00C3770D">
      <w:pPr>
        <w:rPr>
          <w:b/>
          <w:bCs/>
        </w:rPr>
      </w:pPr>
      <w:r w:rsidRPr="00C3770D">
        <w:rPr>
          <w:b/>
          <w:bCs/>
        </w:rPr>
        <w:t>Diagnostic criteria</w:t>
      </w:r>
    </w:p>
    <w:p w14:paraId="1F09C682" w14:textId="77777777" w:rsidR="00C3770D" w:rsidRPr="00C3770D" w:rsidRDefault="00C3770D" w:rsidP="00C3770D">
      <w:r w:rsidRPr="00C3770D">
        <w:t>Before surgery is considered, the diagnosis must be confirmed through clinical and imaging studies. </w:t>
      </w:r>
    </w:p>
    <w:p w14:paraId="5511282A" w14:textId="77777777" w:rsidR="00C3770D" w:rsidRPr="00C3770D" w:rsidRDefault="00C3770D" w:rsidP="00C3770D">
      <w:pPr>
        <w:numPr>
          <w:ilvl w:val="0"/>
          <w:numId w:val="2"/>
        </w:numPr>
      </w:pPr>
      <w:r w:rsidRPr="00C3770D">
        <w:rPr>
          <w:b/>
          <w:bCs/>
        </w:rPr>
        <w:t>Symptoms:</w:t>
      </w:r>
      <w:r w:rsidRPr="00C3770D">
        <w:t> Patients typically present with localized pain, tenderness, swelling, and redness at the back of the heel, especially when wearing shoes with a rigid back.</w:t>
      </w:r>
    </w:p>
    <w:p w14:paraId="0E3EC347" w14:textId="77777777" w:rsidR="00C3770D" w:rsidRPr="00C3770D" w:rsidRDefault="00C3770D" w:rsidP="00C3770D">
      <w:pPr>
        <w:numPr>
          <w:ilvl w:val="0"/>
          <w:numId w:val="2"/>
        </w:numPr>
      </w:pPr>
      <w:r w:rsidRPr="00C3770D">
        <w:rPr>
          <w:b/>
          <w:bCs/>
        </w:rPr>
        <w:t>Imaging:</w:t>
      </w:r>
      <w:r w:rsidRPr="00C3770D">
        <w:t> A lateral X-ray of the ankle is used to visualize the bony enlargement (exostosis) on the back of the calcaneus (heel bone) and to measure its prominence. An MRI or ultrasound may also be ordered to evaluate the retrocalcaneal bursa and Achilles tendon for inflammation or degeneration. </w:t>
      </w:r>
    </w:p>
    <w:p w14:paraId="18D6437A" w14:textId="77777777" w:rsidR="00C3770D" w:rsidRPr="00C3770D" w:rsidRDefault="00C3770D" w:rsidP="00C3770D">
      <w:pPr>
        <w:rPr>
          <w:b/>
          <w:bCs/>
        </w:rPr>
      </w:pPr>
      <w:r w:rsidRPr="00C3770D">
        <w:rPr>
          <w:b/>
          <w:bCs/>
        </w:rPr>
        <w:t>Surgical necessity indicators</w:t>
      </w:r>
    </w:p>
    <w:p w14:paraId="6EE75A23" w14:textId="77777777" w:rsidR="00C3770D" w:rsidRPr="00C3770D" w:rsidRDefault="00C3770D" w:rsidP="00C3770D">
      <w:r w:rsidRPr="00C3770D">
        <w:lastRenderedPageBreak/>
        <w:t>If conservative methods are ineffective, medical necessity for surgery is supported by persistent and debilitating symptoms, including:</w:t>
      </w:r>
    </w:p>
    <w:p w14:paraId="3C79E11C" w14:textId="77777777" w:rsidR="00C3770D" w:rsidRPr="00C3770D" w:rsidRDefault="00C3770D" w:rsidP="00C3770D">
      <w:pPr>
        <w:numPr>
          <w:ilvl w:val="0"/>
          <w:numId w:val="3"/>
        </w:numPr>
      </w:pPr>
      <w:r w:rsidRPr="00C3770D">
        <w:rPr>
          <w:b/>
          <w:bCs/>
        </w:rPr>
        <w:t>Chronic retrocalcaneal bursitis:</w:t>
      </w:r>
      <w:r w:rsidRPr="00C3770D">
        <w:t xml:space="preserve"> Inflammation of the bursa </w:t>
      </w:r>
      <w:proofErr w:type="gramStart"/>
      <w:r w:rsidRPr="00C3770D">
        <w:t>located</w:t>
      </w:r>
      <w:proofErr w:type="gramEnd"/>
      <w:r w:rsidRPr="00C3770D">
        <w:t xml:space="preserve"> between the heel bone and the Achilles tendon.</w:t>
      </w:r>
    </w:p>
    <w:p w14:paraId="2ABDB455" w14:textId="77777777" w:rsidR="00C3770D" w:rsidRPr="00C3770D" w:rsidRDefault="00C3770D" w:rsidP="00C3770D">
      <w:pPr>
        <w:numPr>
          <w:ilvl w:val="0"/>
          <w:numId w:val="3"/>
        </w:numPr>
      </w:pPr>
      <w:r w:rsidRPr="00C3770D">
        <w:rPr>
          <w:b/>
          <w:bCs/>
        </w:rPr>
        <w:t>Severe pain:</w:t>
      </w:r>
      <w:r w:rsidRPr="00C3770D">
        <w:t> Debilitating pain that restricts daily activities and function.</w:t>
      </w:r>
    </w:p>
    <w:p w14:paraId="4ABBED75" w14:textId="77777777" w:rsidR="00C3770D" w:rsidRPr="00C3770D" w:rsidRDefault="00C3770D" w:rsidP="00C3770D">
      <w:pPr>
        <w:numPr>
          <w:ilvl w:val="0"/>
          <w:numId w:val="3"/>
        </w:numPr>
      </w:pPr>
      <w:r w:rsidRPr="00C3770D">
        <w:rPr>
          <w:b/>
          <w:bCs/>
        </w:rPr>
        <w:t>Impaired mobility:</w:t>
      </w:r>
      <w:r w:rsidRPr="00C3770D">
        <w:t> Difficulty walking or wearing normal footwear due to the bony enlargement and inflammation.</w:t>
      </w:r>
    </w:p>
    <w:p w14:paraId="26916D68" w14:textId="77777777" w:rsidR="00C3770D" w:rsidRPr="00C3770D" w:rsidRDefault="00C3770D" w:rsidP="00C3770D">
      <w:pPr>
        <w:numPr>
          <w:ilvl w:val="0"/>
          <w:numId w:val="3"/>
        </w:numPr>
      </w:pPr>
      <w:r w:rsidRPr="00C3770D">
        <w:rPr>
          <w:b/>
          <w:bCs/>
        </w:rPr>
        <w:t>Achilles tendon pathology:</w:t>
      </w:r>
      <w:r w:rsidRPr="00C3770D">
        <w:t> Evidence of degeneration or other pathology in the Achilles tendon associated with the bony prominence. </w:t>
      </w:r>
    </w:p>
    <w:p w14:paraId="341F08B2" w14:textId="77777777" w:rsidR="00C3770D" w:rsidRPr="00C3770D" w:rsidRDefault="00C3770D" w:rsidP="00C3770D">
      <w:pPr>
        <w:rPr>
          <w:b/>
          <w:bCs/>
        </w:rPr>
      </w:pPr>
      <w:r w:rsidRPr="00C3770D">
        <w:rPr>
          <w:b/>
          <w:bCs/>
        </w:rPr>
        <w:t>Contraindications</w:t>
      </w:r>
    </w:p>
    <w:p w14:paraId="259D6D4E" w14:textId="77777777" w:rsidR="00C3770D" w:rsidRPr="00C3770D" w:rsidRDefault="00C3770D" w:rsidP="00C3770D">
      <w:r w:rsidRPr="00C3770D">
        <w:t>Certain medical conditions may prevent a patient from being a candidate for surgery, even with persistent symptoms: </w:t>
      </w:r>
    </w:p>
    <w:p w14:paraId="23771E9B" w14:textId="77777777" w:rsidR="00C3770D" w:rsidRPr="00C3770D" w:rsidRDefault="00C3770D" w:rsidP="00C3770D">
      <w:pPr>
        <w:numPr>
          <w:ilvl w:val="0"/>
          <w:numId w:val="4"/>
        </w:numPr>
      </w:pPr>
      <w:r w:rsidRPr="00C3770D">
        <w:t>Uncontrolled diabetes</w:t>
      </w:r>
    </w:p>
    <w:p w14:paraId="2BDDEEE9" w14:textId="77777777" w:rsidR="00C3770D" w:rsidRPr="00C3770D" w:rsidRDefault="00C3770D" w:rsidP="00C3770D">
      <w:pPr>
        <w:numPr>
          <w:ilvl w:val="0"/>
          <w:numId w:val="4"/>
        </w:numPr>
      </w:pPr>
      <w:r w:rsidRPr="00C3770D">
        <w:t>Peripheral vascular disease</w:t>
      </w:r>
    </w:p>
    <w:p w14:paraId="7C2328DF" w14:textId="77777777" w:rsidR="00C3770D" w:rsidRPr="00C3770D" w:rsidRDefault="00C3770D" w:rsidP="00C3770D">
      <w:pPr>
        <w:numPr>
          <w:ilvl w:val="0"/>
          <w:numId w:val="4"/>
        </w:numPr>
      </w:pPr>
      <w:r w:rsidRPr="00C3770D">
        <w:t>Tobacco use, which can significantly inhibit healing.</w:t>
      </w:r>
    </w:p>
    <w:p w14:paraId="6BE3F71C" w14:textId="77777777" w:rsidR="00C3770D" w:rsidRPr="00C3770D" w:rsidRDefault="00C3770D" w:rsidP="00C3770D">
      <w:pPr>
        <w:numPr>
          <w:ilvl w:val="0"/>
          <w:numId w:val="4"/>
        </w:numPr>
      </w:pPr>
      <w:r w:rsidRPr="00C3770D">
        <w:t>Risks related to anesthesia or surgical positioning. </w:t>
      </w:r>
    </w:p>
    <w:p w14:paraId="238BD001" w14:textId="77777777" w:rsidR="00C3770D" w:rsidRPr="00C3770D" w:rsidRDefault="00C3770D" w:rsidP="00C3770D">
      <w:r w:rsidRPr="00C3770D">
        <w:t>This is for informational purposes only. For medical advice or diagnosis, consult a professional. AI responses may include mistakes. </w:t>
      </w:r>
    </w:p>
    <w:p w14:paraId="6F69AA45" w14:textId="77777777" w:rsidR="00253303" w:rsidRDefault="00253303"/>
    <w:sectPr w:rsidR="00253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3C03"/>
    <w:multiLevelType w:val="multilevel"/>
    <w:tmpl w:val="050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2607B"/>
    <w:multiLevelType w:val="multilevel"/>
    <w:tmpl w:val="31A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63FC8"/>
    <w:multiLevelType w:val="multilevel"/>
    <w:tmpl w:val="1658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B4005"/>
    <w:multiLevelType w:val="multilevel"/>
    <w:tmpl w:val="60C6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937112">
    <w:abstractNumId w:val="1"/>
  </w:num>
  <w:num w:numId="2" w16cid:durableId="1094592106">
    <w:abstractNumId w:val="3"/>
  </w:num>
  <w:num w:numId="3" w16cid:durableId="354692367">
    <w:abstractNumId w:val="2"/>
  </w:num>
  <w:num w:numId="4" w16cid:durableId="82027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0D"/>
    <w:rsid w:val="001C5D9B"/>
    <w:rsid w:val="00253303"/>
    <w:rsid w:val="002711BA"/>
    <w:rsid w:val="00660437"/>
    <w:rsid w:val="00C3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3FAD"/>
  <w15:chartTrackingRefBased/>
  <w15:docId w15:val="{CDE7E8A9-5D62-4963-ADD2-F0C59C68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70D"/>
    <w:rPr>
      <w:rFonts w:eastAsiaTheme="majorEastAsia" w:cstheme="majorBidi"/>
      <w:color w:val="272727" w:themeColor="text1" w:themeTint="D8"/>
    </w:rPr>
  </w:style>
  <w:style w:type="paragraph" w:styleId="Title">
    <w:name w:val="Title"/>
    <w:basedOn w:val="Normal"/>
    <w:next w:val="Normal"/>
    <w:link w:val="TitleChar"/>
    <w:uiPriority w:val="10"/>
    <w:qFormat/>
    <w:rsid w:val="00C3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70D"/>
    <w:pPr>
      <w:spacing w:before="160"/>
      <w:jc w:val="center"/>
    </w:pPr>
    <w:rPr>
      <w:i/>
      <w:iCs/>
      <w:color w:val="404040" w:themeColor="text1" w:themeTint="BF"/>
    </w:rPr>
  </w:style>
  <w:style w:type="character" w:customStyle="1" w:styleId="QuoteChar">
    <w:name w:val="Quote Char"/>
    <w:basedOn w:val="DefaultParagraphFont"/>
    <w:link w:val="Quote"/>
    <w:uiPriority w:val="29"/>
    <w:rsid w:val="00C3770D"/>
    <w:rPr>
      <w:i/>
      <w:iCs/>
      <w:color w:val="404040" w:themeColor="text1" w:themeTint="BF"/>
    </w:rPr>
  </w:style>
  <w:style w:type="paragraph" w:styleId="ListParagraph">
    <w:name w:val="List Paragraph"/>
    <w:basedOn w:val="Normal"/>
    <w:uiPriority w:val="34"/>
    <w:qFormat/>
    <w:rsid w:val="00C3770D"/>
    <w:pPr>
      <w:ind w:left="720"/>
      <w:contextualSpacing/>
    </w:pPr>
  </w:style>
  <w:style w:type="character" w:styleId="IntenseEmphasis">
    <w:name w:val="Intense Emphasis"/>
    <w:basedOn w:val="DefaultParagraphFont"/>
    <w:uiPriority w:val="21"/>
    <w:qFormat/>
    <w:rsid w:val="00C3770D"/>
    <w:rPr>
      <w:i/>
      <w:iCs/>
      <w:color w:val="0F4761" w:themeColor="accent1" w:themeShade="BF"/>
    </w:rPr>
  </w:style>
  <w:style w:type="paragraph" w:styleId="IntenseQuote">
    <w:name w:val="Intense Quote"/>
    <w:basedOn w:val="Normal"/>
    <w:next w:val="Normal"/>
    <w:link w:val="IntenseQuoteChar"/>
    <w:uiPriority w:val="30"/>
    <w:qFormat/>
    <w:rsid w:val="00C3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70D"/>
    <w:rPr>
      <w:i/>
      <w:iCs/>
      <w:color w:val="0F4761" w:themeColor="accent1" w:themeShade="BF"/>
    </w:rPr>
  </w:style>
  <w:style w:type="character" w:styleId="IntenseReference">
    <w:name w:val="Intense Reference"/>
    <w:basedOn w:val="DefaultParagraphFont"/>
    <w:uiPriority w:val="32"/>
    <w:qFormat/>
    <w:rsid w:val="00C377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84712">
      <w:bodyDiv w:val="1"/>
      <w:marLeft w:val="0"/>
      <w:marRight w:val="0"/>
      <w:marTop w:val="0"/>
      <w:marBottom w:val="0"/>
      <w:divBdr>
        <w:top w:val="none" w:sz="0" w:space="0" w:color="auto"/>
        <w:left w:val="none" w:sz="0" w:space="0" w:color="auto"/>
        <w:bottom w:val="none" w:sz="0" w:space="0" w:color="auto"/>
        <w:right w:val="none" w:sz="0" w:space="0" w:color="auto"/>
      </w:divBdr>
      <w:divsChild>
        <w:div w:id="1290942547">
          <w:marLeft w:val="0"/>
          <w:marRight w:val="0"/>
          <w:marTop w:val="240"/>
          <w:marBottom w:val="240"/>
          <w:divBdr>
            <w:top w:val="none" w:sz="0" w:space="0" w:color="auto"/>
            <w:left w:val="none" w:sz="0" w:space="0" w:color="auto"/>
            <w:bottom w:val="none" w:sz="0" w:space="0" w:color="auto"/>
            <w:right w:val="none" w:sz="0" w:space="0" w:color="auto"/>
          </w:divBdr>
        </w:div>
        <w:div w:id="1577130187">
          <w:marLeft w:val="0"/>
          <w:marRight w:val="0"/>
          <w:marTop w:val="450"/>
          <w:marBottom w:val="240"/>
          <w:divBdr>
            <w:top w:val="none" w:sz="0" w:space="0" w:color="auto"/>
            <w:left w:val="none" w:sz="0" w:space="0" w:color="auto"/>
            <w:bottom w:val="none" w:sz="0" w:space="0" w:color="auto"/>
            <w:right w:val="none" w:sz="0" w:space="0" w:color="auto"/>
          </w:divBdr>
        </w:div>
        <w:div w:id="1176459409">
          <w:marLeft w:val="0"/>
          <w:marRight w:val="0"/>
          <w:marTop w:val="240"/>
          <w:marBottom w:val="240"/>
          <w:divBdr>
            <w:top w:val="none" w:sz="0" w:space="0" w:color="auto"/>
            <w:left w:val="none" w:sz="0" w:space="0" w:color="auto"/>
            <w:bottom w:val="none" w:sz="0" w:space="0" w:color="auto"/>
            <w:right w:val="none" w:sz="0" w:space="0" w:color="auto"/>
          </w:divBdr>
        </w:div>
        <w:div w:id="1195122092">
          <w:marLeft w:val="0"/>
          <w:marRight w:val="0"/>
          <w:marTop w:val="450"/>
          <w:marBottom w:val="240"/>
          <w:divBdr>
            <w:top w:val="none" w:sz="0" w:space="0" w:color="auto"/>
            <w:left w:val="none" w:sz="0" w:space="0" w:color="auto"/>
            <w:bottom w:val="none" w:sz="0" w:space="0" w:color="auto"/>
            <w:right w:val="none" w:sz="0" w:space="0" w:color="auto"/>
          </w:divBdr>
        </w:div>
        <w:div w:id="1301611830">
          <w:marLeft w:val="0"/>
          <w:marRight w:val="0"/>
          <w:marTop w:val="240"/>
          <w:marBottom w:val="240"/>
          <w:divBdr>
            <w:top w:val="none" w:sz="0" w:space="0" w:color="auto"/>
            <w:left w:val="none" w:sz="0" w:space="0" w:color="auto"/>
            <w:bottom w:val="none" w:sz="0" w:space="0" w:color="auto"/>
            <w:right w:val="none" w:sz="0" w:space="0" w:color="auto"/>
          </w:divBdr>
        </w:div>
        <w:div w:id="1547638973">
          <w:marLeft w:val="0"/>
          <w:marRight w:val="0"/>
          <w:marTop w:val="450"/>
          <w:marBottom w:val="240"/>
          <w:divBdr>
            <w:top w:val="none" w:sz="0" w:space="0" w:color="auto"/>
            <w:left w:val="none" w:sz="0" w:space="0" w:color="auto"/>
            <w:bottom w:val="none" w:sz="0" w:space="0" w:color="auto"/>
            <w:right w:val="none" w:sz="0" w:space="0" w:color="auto"/>
          </w:divBdr>
        </w:div>
        <w:div w:id="188759941">
          <w:marLeft w:val="0"/>
          <w:marRight w:val="0"/>
          <w:marTop w:val="240"/>
          <w:marBottom w:val="240"/>
          <w:divBdr>
            <w:top w:val="none" w:sz="0" w:space="0" w:color="auto"/>
            <w:left w:val="none" w:sz="0" w:space="0" w:color="auto"/>
            <w:bottom w:val="none" w:sz="0" w:space="0" w:color="auto"/>
            <w:right w:val="none" w:sz="0" w:space="0" w:color="auto"/>
          </w:divBdr>
        </w:div>
        <w:div w:id="1251281687">
          <w:marLeft w:val="0"/>
          <w:marRight w:val="0"/>
          <w:marTop w:val="450"/>
          <w:marBottom w:val="240"/>
          <w:divBdr>
            <w:top w:val="none" w:sz="0" w:space="0" w:color="auto"/>
            <w:left w:val="none" w:sz="0" w:space="0" w:color="auto"/>
            <w:bottom w:val="none" w:sz="0" w:space="0" w:color="auto"/>
            <w:right w:val="none" w:sz="0" w:space="0" w:color="auto"/>
          </w:divBdr>
        </w:div>
        <w:div w:id="1937982949">
          <w:marLeft w:val="0"/>
          <w:marRight w:val="0"/>
          <w:marTop w:val="240"/>
          <w:marBottom w:val="240"/>
          <w:divBdr>
            <w:top w:val="none" w:sz="0" w:space="0" w:color="auto"/>
            <w:left w:val="none" w:sz="0" w:space="0" w:color="auto"/>
            <w:bottom w:val="none" w:sz="0" w:space="0" w:color="auto"/>
            <w:right w:val="none" w:sz="0" w:space="0" w:color="auto"/>
          </w:divBdr>
        </w:div>
        <w:div w:id="77139503">
          <w:marLeft w:val="0"/>
          <w:marRight w:val="0"/>
          <w:marTop w:val="0"/>
          <w:marBottom w:val="0"/>
          <w:divBdr>
            <w:top w:val="none" w:sz="0" w:space="0" w:color="auto"/>
            <w:left w:val="none" w:sz="0" w:space="0" w:color="auto"/>
            <w:bottom w:val="none" w:sz="0" w:space="0" w:color="auto"/>
            <w:right w:val="none" w:sz="0" w:space="0" w:color="auto"/>
          </w:divBdr>
          <w:divsChild>
            <w:div w:id="1174152224">
              <w:marLeft w:val="0"/>
              <w:marRight w:val="0"/>
              <w:marTop w:val="300"/>
              <w:marBottom w:val="180"/>
              <w:divBdr>
                <w:top w:val="none" w:sz="0" w:space="0" w:color="auto"/>
                <w:left w:val="none" w:sz="0" w:space="0" w:color="auto"/>
                <w:bottom w:val="none" w:sz="0" w:space="0" w:color="auto"/>
                <w:right w:val="none" w:sz="0" w:space="0" w:color="auto"/>
              </w:divBdr>
              <w:divsChild>
                <w:div w:id="1525241941">
                  <w:marLeft w:val="0"/>
                  <w:marRight w:val="0"/>
                  <w:marTop w:val="0"/>
                  <w:marBottom w:val="0"/>
                  <w:divBdr>
                    <w:top w:val="none" w:sz="0" w:space="0" w:color="auto"/>
                    <w:left w:val="none" w:sz="0" w:space="0" w:color="auto"/>
                    <w:bottom w:val="none" w:sz="0" w:space="0" w:color="auto"/>
                    <w:right w:val="none" w:sz="0" w:space="0" w:color="auto"/>
                  </w:divBdr>
                  <w:divsChild>
                    <w:div w:id="18347119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79782">
      <w:bodyDiv w:val="1"/>
      <w:marLeft w:val="0"/>
      <w:marRight w:val="0"/>
      <w:marTop w:val="0"/>
      <w:marBottom w:val="0"/>
      <w:divBdr>
        <w:top w:val="none" w:sz="0" w:space="0" w:color="auto"/>
        <w:left w:val="none" w:sz="0" w:space="0" w:color="auto"/>
        <w:bottom w:val="none" w:sz="0" w:space="0" w:color="auto"/>
        <w:right w:val="none" w:sz="0" w:space="0" w:color="auto"/>
      </w:divBdr>
      <w:divsChild>
        <w:div w:id="1142578775">
          <w:marLeft w:val="0"/>
          <w:marRight w:val="0"/>
          <w:marTop w:val="240"/>
          <w:marBottom w:val="240"/>
          <w:divBdr>
            <w:top w:val="none" w:sz="0" w:space="0" w:color="auto"/>
            <w:left w:val="none" w:sz="0" w:space="0" w:color="auto"/>
            <w:bottom w:val="none" w:sz="0" w:space="0" w:color="auto"/>
            <w:right w:val="none" w:sz="0" w:space="0" w:color="auto"/>
          </w:divBdr>
        </w:div>
        <w:div w:id="1623149225">
          <w:marLeft w:val="0"/>
          <w:marRight w:val="0"/>
          <w:marTop w:val="450"/>
          <w:marBottom w:val="240"/>
          <w:divBdr>
            <w:top w:val="none" w:sz="0" w:space="0" w:color="auto"/>
            <w:left w:val="none" w:sz="0" w:space="0" w:color="auto"/>
            <w:bottom w:val="none" w:sz="0" w:space="0" w:color="auto"/>
            <w:right w:val="none" w:sz="0" w:space="0" w:color="auto"/>
          </w:divBdr>
        </w:div>
        <w:div w:id="1391271043">
          <w:marLeft w:val="0"/>
          <w:marRight w:val="0"/>
          <w:marTop w:val="240"/>
          <w:marBottom w:val="240"/>
          <w:divBdr>
            <w:top w:val="none" w:sz="0" w:space="0" w:color="auto"/>
            <w:left w:val="none" w:sz="0" w:space="0" w:color="auto"/>
            <w:bottom w:val="none" w:sz="0" w:space="0" w:color="auto"/>
            <w:right w:val="none" w:sz="0" w:space="0" w:color="auto"/>
          </w:divBdr>
        </w:div>
        <w:div w:id="1263949048">
          <w:marLeft w:val="0"/>
          <w:marRight w:val="0"/>
          <w:marTop w:val="450"/>
          <w:marBottom w:val="240"/>
          <w:divBdr>
            <w:top w:val="none" w:sz="0" w:space="0" w:color="auto"/>
            <w:left w:val="none" w:sz="0" w:space="0" w:color="auto"/>
            <w:bottom w:val="none" w:sz="0" w:space="0" w:color="auto"/>
            <w:right w:val="none" w:sz="0" w:space="0" w:color="auto"/>
          </w:divBdr>
        </w:div>
        <w:div w:id="1081486163">
          <w:marLeft w:val="0"/>
          <w:marRight w:val="0"/>
          <w:marTop w:val="240"/>
          <w:marBottom w:val="240"/>
          <w:divBdr>
            <w:top w:val="none" w:sz="0" w:space="0" w:color="auto"/>
            <w:left w:val="none" w:sz="0" w:space="0" w:color="auto"/>
            <w:bottom w:val="none" w:sz="0" w:space="0" w:color="auto"/>
            <w:right w:val="none" w:sz="0" w:space="0" w:color="auto"/>
          </w:divBdr>
        </w:div>
        <w:div w:id="1904484039">
          <w:marLeft w:val="0"/>
          <w:marRight w:val="0"/>
          <w:marTop w:val="450"/>
          <w:marBottom w:val="240"/>
          <w:divBdr>
            <w:top w:val="none" w:sz="0" w:space="0" w:color="auto"/>
            <w:left w:val="none" w:sz="0" w:space="0" w:color="auto"/>
            <w:bottom w:val="none" w:sz="0" w:space="0" w:color="auto"/>
            <w:right w:val="none" w:sz="0" w:space="0" w:color="auto"/>
          </w:divBdr>
        </w:div>
        <w:div w:id="1126777595">
          <w:marLeft w:val="0"/>
          <w:marRight w:val="0"/>
          <w:marTop w:val="240"/>
          <w:marBottom w:val="240"/>
          <w:divBdr>
            <w:top w:val="none" w:sz="0" w:space="0" w:color="auto"/>
            <w:left w:val="none" w:sz="0" w:space="0" w:color="auto"/>
            <w:bottom w:val="none" w:sz="0" w:space="0" w:color="auto"/>
            <w:right w:val="none" w:sz="0" w:space="0" w:color="auto"/>
          </w:divBdr>
        </w:div>
        <w:div w:id="1181090284">
          <w:marLeft w:val="0"/>
          <w:marRight w:val="0"/>
          <w:marTop w:val="450"/>
          <w:marBottom w:val="240"/>
          <w:divBdr>
            <w:top w:val="none" w:sz="0" w:space="0" w:color="auto"/>
            <w:left w:val="none" w:sz="0" w:space="0" w:color="auto"/>
            <w:bottom w:val="none" w:sz="0" w:space="0" w:color="auto"/>
            <w:right w:val="none" w:sz="0" w:space="0" w:color="auto"/>
          </w:divBdr>
        </w:div>
        <w:div w:id="1352074000">
          <w:marLeft w:val="0"/>
          <w:marRight w:val="0"/>
          <w:marTop w:val="240"/>
          <w:marBottom w:val="240"/>
          <w:divBdr>
            <w:top w:val="none" w:sz="0" w:space="0" w:color="auto"/>
            <w:left w:val="none" w:sz="0" w:space="0" w:color="auto"/>
            <w:bottom w:val="none" w:sz="0" w:space="0" w:color="auto"/>
            <w:right w:val="none" w:sz="0" w:space="0" w:color="auto"/>
          </w:divBdr>
        </w:div>
        <w:div w:id="1990284894">
          <w:marLeft w:val="0"/>
          <w:marRight w:val="0"/>
          <w:marTop w:val="0"/>
          <w:marBottom w:val="0"/>
          <w:divBdr>
            <w:top w:val="none" w:sz="0" w:space="0" w:color="auto"/>
            <w:left w:val="none" w:sz="0" w:space="0" w:color="auto"/>
            <w:bottom w:val="none" w:sz="0" w:space="0" w:color="auto"/>
            <w:right w:val="none" w:sz="0" w:space="0" w:color="auto"/>
          </w:divBdr>
          <w:divsChild>
            <w:div w:id="738989694">
              <w:marLeft w:val="0"/>
              <w:marRight w:val="0"/>
              <w:marTop w:val="300"/>
              <w:marBottom w:val="180"/>
              <w:divBdr>
                <w:top w:val="none" w:sz="0" w:space="0" w:color="auto"/>
                <w:left w:val="none" w:sz="0" w:space="0" w:color="auto"/>
                <w:bottom w:val="none" w:sz="0" w:space="0" w:color="auto"/>
                <w:right w:val="none" w:sz="0" w:space="0" w:color="auto"/>
              </w:divBdr>
              <w:divsChild>
                <w:div w:id="2072657672">
                  <w:marLeft w:val="0"/>
                  <w:marRight w:val="0"/>
                  <w:marTop w:val="0"/>
                  <w:marBottom w:val="0"/>
                  <w:divBdr>
                    <w:top w:val="none" w:sz="0" w:space="0" w:color="auto"/>
                    <w:left w:val="none" w:sz="0" w:space="0" w:color="auto"/>
                    <w:bottom w:val="none" w:sz="0" w:space="0" w:color="auto"/>
                    <w:right w:val="none" w:sz="0" w:space="0" w:color="auto"/>
                  </w:divBdr>
                  <w:divsChild>
                    <w:div w:id="506122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4C2BBA21F5F468A565A8E4708EB8F" ma:contentTypeVersion="12" ma:contentTypeDescription="Create a new document." ma:contentTypeScope="" ma:versionID="014ce454d773a474682cce56cf47ac9f">
  <xsd:schema xmlns:xsd="http://www.w3.org/2001/XMLSchema" xmlns:xs="http://www.w3.org/2001/XMLSchema" xmlns:p="http://schemas.microsoft.com/office/2006/metadata/properties" xmlns:ns2="40ba1ca8-1ef7-409e-aea1-27904e208e64" xmlns:ns3="3fc42a37-2ec7-44a6-81d0-11f508c0ccbd" targetNamespace="http://schemas.microsoft.com/office/2006/metadata/properties" ma:root="true" ma:fieldsID="cc41630695b108b24bd03e7e9d207bdf" ns2:_="" ns3:_="">
    <xsd:import namespace="40ba1ca8-1ef7-409e-aea1-27904e208e64"/>
    <xsd:import namespace="3fc42a37-2ec7-44a6-81d0-11f508c0cc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a1ca8-1ef7-409e-aea1-27904e208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74ce155-c195-4c58-b373-b1ad4c0f5d3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c42a37-2ec7-44a6-81d0-11f508c0ccb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c8a7cb7-8df5-446e-bb95-2cba96b75cd1}" ma:internalName="TaxCatchAll" ma:showField="CatchAllData" ma:web="3fc42a37-2ec7-44a6-81d0-11f508c0c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fc42a37-2ec7-44a6-81d0-11f508c0ccbd" xsi:nil="true"/>
    <lcf76f155ced4ddcb4097134ff3c332f xmlns="40ba1ca8-1ef7-409e-aea1-27904e208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1BF593-7548-4733-8B0D-B91CF19E7446}"/>
</file>

<file path=customXml/itemProps2.xml><?xml version="1.0" encoding="utf-8"?>
<ds:datastoreItem xmlns:ds="http://schemas.openxmlformats.org/officeDocument/2006/customXml" ds:itemID="{6CC6B069-6C10-4022-A8B0-78F3B073539B}"/>
</file>

<file path=customXml/itemProps3.xml><?xml version="1.0" encoding="utf-8"?>
<ds:datastoreItem xmlns:ds="http://schemas.openxmlformats.org/officeDocument/2006/customXml" ds:itemID="{37376C30-1FE5-4864-B505-2037C697F006}"/>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2485</Characters>
  <Application>Microsoft Office Word</Application>
  <DocSecurity>0</DocSecurity>
  <Lines>49</Lines>
  <Paragraphs>26</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Nadig</dc:creator>
  <cp:keywords/>
  <dc:description/>
  <cp:lastModifiedBy>Vinay Nadig</cp:lastModifiedBy>
  <cp:revision>2</cp:revision>
  <dcterms:created xsi:type="dcterms:W3CDTF">2025-10-08T18:26:00Z</dcterms:created>
  <dcterms:modified xsi:type="dcterms:W3CDTF">2025-10-08T18:27:00Z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0x0101006654C2BBA21F5F468A565A8E4708EB8F</vt:lpwstr>
  </property>
</Properties>
</file>