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ind w:firstLine="720"/>
        <w:rPr>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 xml:space="preserve">Seeing is believing” seems self-evident. That is why we even question our own sanity if we cannot trust our eyes. Yet vision is neither innate nor inborn. It is developed in early children by input of clear images from each eye. Through our vision, as well as other faculties, children develop a schematic concept of the world. For this reason, we are surprised when our preconceived ideas are challenged, as when we are presented with optical illusions (e.g. Escher perpetual steps). The process of perception involves receiving images, analysing them and making predictions based on memory, expectations and previous experience. When the brain function is disturbed, we hallucinate and see things that are not there. Stated simply, the first objective of this course is to demonstrate that we see with our brains and not with our eyes. We will do this by exploring the physics, anatomy and physiology of vision including functional MRI imaging of the vision of the brain when presented with different images. </w:t>
      </w:r>
    </w:p>
    <w:p>
      <w:pPr>
        <w:pStyle w:val="Normal1"/>
        <w:spacing w:lineRule="auto" w:line="480"/>
        <w:ind w:firstLine="720"/>
        <w:jc w:val="both"/>
        <w:rPr>
          <w:sz w:val="24"/>
          <w:szCs w:val="24"/>
        </w:rPr>
      </w:pPr>
      <w:r>
        <w:rPr>
          <w:rFonts w:eastAsia="Times New Roman" w:cs="Times New Roman" w:ascii="Times New Roman" w:hAnsi="Times New Roman"/>
          <w:sz w:val="24"/>
          <w:szCs w:val="24"/>
        </w:rPr>
        <w:t>If our perception can be influenced by our experience, the reverse can also apply. By manipulating images, we can create different perceptions. “Photographs don’t lie.'' is another truism. Images can be manipulated. Throughout history, there are also many examples of mass manipulation from propaganda images. Today with the widespread use of digital photography and the use of multi-media in journalism, computer manipulation is made easier. There are many examples of politicians being airbrushed out or juxtaposed. Simply cropping photographs can portray a different story. Our second objective is to help students appreciate our perceptions which can be influenced by the manipulation of images. They can actively participate by finding everyday examples from history, from journalism, from advertisement and analyse the devices used.</w:t>
      </w:r>
    </w:p>
    <w:p>
      <w:pPr>
        <w:pStyle w:val="Normal1"/>
        <w:spacing w:lineRule="auto" w:line="360" w:before="0" w:after="200"/>
        <w:ind w:firstLine="720"/>
        <w:jc w:val="both"/>
        <w:rPr>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Beauty is in the eye of the beholder”. Is beauty entirely subjective? Is our judgement of how attractive a member of the opposite sex influenced by our own perception of how good looking we are? We are going to approach our individual preferences and the prevailing concept of beauty from the point of view of the development of self-image, of psychosexual growth of young adolescence. The objective is to see if we could challenge students to take a more detached look at the prevailing culture of body image.</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375</Words>
  <Characters>1988</Characters>
  <CharactersWithSpaces>2361</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2026-09-06T01:40:09Z</dcterms:modified>
  <cp:revision>1</cp:revision>
  <dc:subject/>
  <dc:title/>
</cp:coreProperties>
</file>