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07E2" w14:textId="439CE9AE" w:rsidR="006053CA" w:rsidRDefault="36CE3B8D" w:rsidP="275543A2">
      <w:pPr>
        <w:rPr>
          <w:u w:val="single"/>
        </w:rPr>
      </w:pPr>
      <w:r w:rsidRPr="275543A2">
        <w:rPr>
          <w:u w:val="single"/>
        </w:rPr>
        <w:t>Modelo de Preguntas Frecuentes - Régimen Informativo PSP ( Com “A” 8207)</w:t>
      </w:r>
    </w:p>
    <w:p w14:paraId="03F2E646" w14:textId="499846F7" w:rsidR="75C7B934" w:rsidRDefault="75C7B934">
      <w:r>
        <w:t>CONAU: Consultas vinculadas con los criterios de presentación.</w:t>
      </w:r>
    </w:p>
    <w:p w14:paraId="638EC280" w14:textId="41A3FC0D" w:rsidR="1EEB5E16" w:rsidRDefault="1EEB5E16">
      <w:r>
        <w:t>Estructura comparativa:</w:t>
      </w:r>
    </w:p>
    <w:tbl>
      <w:tblPr>
        <w:tblStyle w:val="Tablaconcuadrcula"/>
        <w:tblW w:w="0" w:type="auto"/>
        <w:tblLayout w:type="fixed"/>
        <w:tblLook w:val="06A0" w:firstRow="1" w:lastRow="0" w:firstColumn="1" w:lastColumn="0" w:noHBand="1" w:noVBand="1"/>
      </w:tblPr>
      <w:tblGrid>
        <w:gridCol w:w="4508"/>
        <w:gridCol w:w="4508"/>
      </w:tblGrid>
      <w:tr w:rsidR="275543A2" w14:paraId="38E6FFCF" w14:textId="77777777" w:rsidTr="3157D90E">
        <w:trPr>
          <w:trHeight w:val="300"/>
        </w:trPr>
        <w:tc>
          <w:tcPr>
            <w:tcW w:w="9016" w:type="dxa"/>
            <w:gridSpan w:val="2"/>
          </w:tcPr>
          <w:p w14:paraId="1A82E2CB" w14:textId="76C15A55" w:rsidR="2733880C" w:rsidRDefault="2733880C" w:rsidP="275543A2">
            <w:pPr>
              <w:jc w:val="center"/>
            </w:pPr>
            <w:r>
              <w:t>Generales</w:t>
            </w:r>
          </w:p>
        </w:tc>
      </w:tr>
      <w:tr w:rsidR="275543A2" w14:paraId="47E89A2D" w14:textId="77777777" w:rsidTr="3157D90E">
        <w:trPr>
          <w:trHeight w:val="300"/>
        </w:trPr>
        <w:tc>
          <w:tcPr>
            <w:tcW w:w="4508" w:type="dxa"/>
            <w:shd w:val="clear" w:color="auto" w:fill="A5C9EB" w:themeFill="text2" w:themeFillTint="40"/>
          </w:tcPr>
          <w:p w14:paraId="57649834" w14:textId="5E6289E6" w:rsidR="2733880C" w:rsidRDefault="2733880C" w:rsidP="275543A2">
            <w:pPr>
              <w:rPr>
                <w:rFonts w:ascii="Aptos" w:eastAsia="Aptos" w:hAnsi="Aptos" w:cs="Aptos"/>
                <w:b/>
                <w:bCs/>
              </w:rPr>
            </w:pPr>
            <w:r w:rsidRPr="275543A2">
              <w:rPr>
                <w:rFonts w:ascii="Aptos" w:eastAsia="Aptos" w:hAnsi="Aptos" w:cs="Aptos"/>
                <w:b/>
                <w:bCs/>
              </w:rPr>
              <w:t>Versión original</w:t>
            </w:r>
          </w:p>
        </w:tc>
        <w:tc>
          <w:tcPr>
            <w:tcW w:w="4508" w:type="dxa"/>
            <w:shd w:val="clear" w:color="auto" w:fill="F1A983" w:themeFill="accent2" w:themeFillTint="99"/>
          </w:tcPr>
          <w:p w14:paraId="41712CD8" w14:textId="7B7126F1" w:rsidR="2733880C" w:rsidRDefault="2733880C" w:rsidP="275543A2">
            <w:pPr>
              <w:rPr>
                <w:rFonts w:ascii="Aptos" w:eastAsia="Aptos" w:hAnsi="Aptos" w:cs="Aptos"/>
                <w:b/>
                <w:bCs/>
              </w:rPr>
            </w:pPr>
            <w:r w:rsidRPr="275543A2">
              <w:rPr>
                <w:rFonts w:ascii="Aptos" w:eastAsia="Aptos" w:hAnsi="Aptos" w:cs="Aptos"/>
                <w:b/>
                <w:bCs/>
              </w:rPr>
              <w:t>Versión Nueva</w:t>
            </w:r>
          </w:p>
        </w:tc>
      </w:tr>
      <w:tr w:rsidR="275543A2" w14:paraId="2B871EFF" w14:textId="77777777" w:rsidTr="3157D90E">
        <w:trPr>
          <w:trHeight w:val="300"/>
        </w:trPr>
        <w:tc>
          <w:tcPr>
            <w:tcW w:w="4508" w:type="dxa"/>
          </w:tcPr>
          <w:p w14:paraId="05717C3A" w14:textId="1F0A97D3" w:rsidR="2733880C" w:rsidRDefault="2733880C" w:rsidP="275543A2">
            <w:pPr>
              <w:rPr>
                <w:rFonts w:ascii="Aptos" w:eastAsia="Aptos" w:hAnsi="Aptos" w:cs="Aptos"/>
                <w:b/>
                <w:bCs/>
              </w:rPr>
            </w:pPr>
            <w:r w:rsidRPr="275543A2">
              <w:rPr>
                <w:rFonts w:ascii="Aptos" w:eastAsia="Aptos" w:hAnsi="Aptos" w:cs="Aptos"/>
                <w:b/>
                <w:bCs/>
              </w:rPr>
              <w:t>¿Los montos son con decimales? ¿Los saldos se redondean? ¿Se separan con coma o punto?</w:t>
            </w:r>
          </w:p>
        </w:tc>
        <w:tc>
          <w:tcPr>
            <w:tcW w:w="4508" w:type="dxa"/>
          </w:tcPr>
          <w:p w14:paraId="3F40537B" w14:textId="38D6AA2C" w:rsidR="09CB3460" w:rsidRDefault="09CB3460" w:rsidP="275543A2">
            <w:pPr>
              <w:rPr>
                <w:rFonts w:ascii="Aptos" w:eastAsia="Aptos" w:hAnsi="Aptos" w:cs="Aptos"/>
                <w:b/>
                <w:bCs/>
              </w:rPr>
            </w:pPr>
            <w:r w:rsidRPr="275543A2">
              <w:rPr>
                <w:rFonts w:ascii="Aptos" w:eastAsia="Aptos" w:hAnsi="Aptos" w:cs="Aptos"/>
                <w:b/>
                <w:bCs/>
              </w:rPr>
              <w:t>¿Cómo se deben informar los montos en cuanto a decimales, redondeo y formato de separación?</w:t>
            </w:r>
          </w:p>
        </w:tc>
      </w:tr>
      <w:tr w:rsidR="275543A2" w14:paraId="320B4F0E" w14:textId="77777777" w:rsidTr="3157D90E">
        <w:trPr>
          <w:trHeight w:val="300"/>
        </w:trPr>
        <w:tc>
          <w:tcPr>
            <w:tcW w:w="4508" w:type="dxa"/>
          </w:tcPr>
          <w:p w14:paraId="5CA88F67" w14:textId="0D12413F" w:rsidR="2733880C" w:rsidRDefault="2733880C">
            <w:r w:rsidRPr="275543A2">
              <w:rPr>
                <w:rFonts w:ascii="Aptos" w:eastAsia="Aptos" w:hAnsi="Aptos" w:cs="Aptos"/>
                <w:u w:val="single"/>
              </w:rPr>
              <w:t>Respuesta:</w:t>
            </w:r>
            <w:r w:rsidRPr="275543A2">
              <w:rPr>
                <w:rFonts w:ascii="Aptos" w:eastAsia="Aptos" w:hAnsi="Aptos" w:cs="Aptos"/>
              </w:rPr>
              <w:t xml:space="preserve"> A los fines del redondeo de las magnitudes se incrementarán los valores en una unidad cuando el primer digito de las fracciones sea igual o mayor que 5, desechando las que resulten inferiores. Los importes se registrarán en miles de pesos, sin decimales.</w:t>
            </w:r>
          </w:p>
        </w:tc>
        <w:tc>
          <w:tcPr>
            <w:tcW w:w="4508" w:type="dxa"/>
          </w:tcPr>
          <w:p w14:paraId="2D8509C1" w14:textId="1D64F7F3" w:rsidR="11B77CA3" w:rsidRDefault="11B77CA3" w:rsidP="275543A2">
            <w:pPr>
              <w:rPr>
                <w:rFonts w:ascii="Aptos" w:eastAsia="Aptos" w:hAnsi="Aptos" w:cs="Aptos"/>
              </w:rPr>
            </w:pPr>
            <w:r w:rsidRPr="275543A2">
              <w:rPr>
                <w:rFonts w:ascii="Aptos" w:eastAsia="Aptos" w:hAnsi="Aptos" w:cs="Aptos"/>
                <w:u w:val="single"/>
              </w:rPr>
              <w:t>Respuesta:</w:t>
            </w:r>
            <w:r w:rsidRPr="275543A2">
              <w:rPr>
                <w:rFonts w:ascii="Aptos" w:eastAsia="Aptos" w:hAnsi="Aptos" w:cs="Aptos"/>
              </w:rPr>
              <w:t xml:space="preserve"> Los importes se deben informar en miles de pesos, sin decimales. El redondeo se realizar</w:t>
            </w:r>
            <w:r w:rsidR="0EAC49AC" w:rsidRPr="275543A2">
              <w:rPr>
                <w:rFonts w:ascii="Aptos" w:eastAsia="Aptos" w:hAnsi="Aptos" w:cs="Aptos"/>
              </w:rPr>
              <w:t>á</w:t>
            </w:r>
            <w:r w:rsidRPr="275543A2">
              <w:rPr>
                <w:rFonts w:ascii="Aptos" w:eastAsia="Aptos" w:hAnsi="Aptos" w:cs="Aptos"/>
              </w:rPr>
              <w:t xml:space="preserve"> incrementando en una unidad cuando el primer d</w:t>
            </w:r>
            <w:r w:rsidR="02A356FA" w:rsidRPr="275543A2">
              <w:rPr>
                <w:rFonts w:ascii="Aptos" w:eastAsia="Aptos" w:hAnsi="Aptos" w:cs="Aptos"/>
              </w:rPr>
              <w:t>í</w:t>
            </w:r>
            <w:r w:rsidRPr="275543A2">
              <w:rPr>
                <w:rFonts w:ascii="Aptos" w:eastAsia="Aptos" w:hAnsi="Aptos" w:cs="Aptos"/>
              </w:rPr>
              <w:t>­gito de la fracci</w:t>
            </w:r>
            <w:r w:rsidR="5F297557" w:rsidRPr="275543A2">
              <w:rPr>
                <w:rFonts w:ascii="Aptos" w:eastAsia="Aptos" w:hAnsi="Aptos" w:cs="Aptos"/>
              </w:rPr>
              <w:t>ó</w:t>
            </w:r>
            <w:r w:rsidRPr="275543A2">
              <w:rPr>
                <w:rFonts w:ascii="Aptos" w:eastAsia="Aptos" w:hAnsi="Aptos" w:cs="Aptos"/>
              </w:rPr>
              <w:t>n sea igual o mayor que 5</w:t>
            </w:r>
            <w:r w:rsidR="4DF16111" w:rsidRPr="275543A2">
              <w:rPr>
                <w:rFonts w:ascii="Aptos" w:eastAsia="Aptos" w:hAnsi="Aptos" w:cs="Aptos"/>
              </w:rPr>
              <w:t>.</w:t>
            </w:r>
          </w:p>
        </w:tc>
      </w:tr>
      <w:tr w:rsidR="275543A2" w14:paraId="6AD089AE" w14:textId="77777777" w:rsidTr="3157D90E">
        <w:trPr>
          <w:trHeight w:val="300"/>
        </w:trPr>
        <w:tc>
          <w:tcPr>
            <w:tcW w:w="4508" w:type="dxa"/>
          </w:tcPr>
          <w:p w14:paraId="33A3DCA3" w14:textId="61090999" w:rsidR="4DF16111" w:rsidRDefault="4DF16111" w:rsidP="275543A2">
            <w:pPr>
              <w:rPr>
                <w:rFonts w:ascii="Aptos" w:eastAsia="Aptos" w:hAnsi="Aptos" w:cs="Aptos"/>
                <w:b/>
                <w:bCs/>
              </w:rPr>
            </w:pPr>
            <w:r w:rsidRPr="275543A2">
              <w:rPr>
                <w:rFonts w:ascii="Aptos" w:eastAsia="Aptos" w:hAnsi="Aptos" w:cs="Aptos"/>
                <w:b/>
                <w:bCs/>
              </w:rPr>
              <w:t>¿Está información a presentar es trimestral? La info por lo tanto a mostrar es acumulada de los tres meses en cuestión, ¿no?</w:t>
            </w:r>
          </w:p>
        </w:tc>
        <w:tc>
          <w:tcPr>
            <w:tcW w:w="4508" w:type="dxa"/>
          </w:tcPr>
          <w:p w14:paraId="046241E5" w14:textId="307D6CD8" w:rsidR="74579E53" w:rsidRDefault="74579E53" w:rsidP="275543A2">
            <w:pPr>
              <w:rPr>
                <w:rFonts w:ascii="Aptos" w:eastAsia="Aptos" w:hAnsi="Aptos" w:cs="Aptos"/>
                <w:b/>
                <w:bCs/>
              </w:rPr>
            </w:pPr>
            <w:r w:rsidRPr="275543A2">
              <w:rPr>
                <w:rFonts w:ascii="Aptos" w:eastAsia="Aptos" w:hAnsi="Aptos" w:cs="Aptos"/>
                <w:b/>
                <w:bCs/>
              </w:rPr>
              <w:t>¿La información del Apartado B debe presentarse de forma mensual o trimestral? ¿Se acumula por tres meses o solo por el mes en cuestión?</w:t>
            </w:r>
          </w:p>
        </w:tc>
      </w:tr>
      <w:tr w:rsidR="275543A2" w14:paraId="220B3AE8" w14:textId="77777777" w:rsidTr="3157D90E">
        <w:trPr>
          <w:trHeight w:val="300"/>
        </w:trPr>
        <w:tc>
          <w:tcPr>
            <w:tcW w:w="4508" w:type="dxa"/>
          </w:tcPr>
          <w:p w14:paraId="15EAF0F4" w14:textId="242AF5B7" w:rsidR="4DF16111" w:rsidRDefault="4DF16111" w:rsidP="275543A2">
            <w:pPr>
              <w:rPr>
                <w:rFonts w:ascii="Aptos" w:eastAsia="Aptos" w:hAnsi="Aptos" w:cs="Aptos"/>
              </w:rPr>
            </w:pPr>
            <w:r w:rsidRPr="275543A2">
              <w:rPr>
                <w:rFonts w:ascii="Aptos" w:eastAsia="Aptos" w:hAnsi="Aptos" w:cs="Aptos"/>
                <w:color w:val="000000" w:themeColor="text1"/>
                <w:u w:val="single"/>
              </w:rPr>
              <w:t>Respuesta:</w:t>
            </w:r>
            <w:r w:rsidRPr="275543A2">
              <w:rPr>
                <w:rFonts w:ascii="Aptos" w:eastAsia="Aptos" w:hAnsi="Aptos" w:cs="Aptos"/>
                <w:color w:val="000000" w:themeColor="text1"/>
              </w:rPr>
              <w:t xml:space="preserve"> La información a remitir en el archivo “INFESTADISTICA.TXT” es mensual (punto III.1 de la Com. "A" 6929).</w:t>
            </w:r>
          </w:p>
        </w:tc>
        <w:tc>
          <w:tcPr>
            <w:tcW w:w="4508" w:type="dxa"/>
          </w:tcPr>
          <w:p w14:paraId="43D90A8B" w14:textId="527C56F7" w:rsidR="1ECFB0A1" w:rsidRDefault="1ECFB0A1" w:rsidP="275543A2">
            <w:pPr>
              <w:rPr>
                <w:rFonts w:ascii="Aptos" w:eastAsia="Aptos" w:hAnsi="Aptos" w:cs="Aptos"/>
              </w:rPr>
            </w:pPr>
            <w:r w:rsidRPr="275543A2">
              <w:rPr>
                <w:rFonts w:ascii="Aptos" w:eastAsia="Aptos" w:hAnsi="Aptos" w:cs="Aptos"/>
                <w:u w:val="single"/>
              </w:rPr>
              <w:t>Respuesta:</w:t>
            </w:r>
            <w:r w:rsidRPr="275543A2">
              <w:rPr>
                <w:rFonts w:ascii="Aptos" w:eastAsia="Aptos" w:hAnsi="Aptos" w:cs="Aptos"/>
              </w:rPr>
              <w:t xml:space="preserve"> La información del Apartado B: “Información estadística – Sistema Nacional de Pagos” se presenta </w:t>
            </w:r>
            <w:r w:rsidRPr="275543A2">
              <w:rPr>
                <w:rFonts w:ascii="Aptos" w:eastAsia="Aptos" w:hAnsi="Aptos" w:cs="Aptos"/>
                <w:b/>
                <w:bCs/>
              </w:rPr>
              <w:t>mensualmente</w:t>
            </w:r>
            <w:r w:rsidRPr="275543A2">
              <w:rPr>
                <w:rFonts w:ascii="Aptos" w:eastAsia="Aptos" w:hAnsi="Aptos" w:cs="Aptos"/>
              </w:rPr>
              <w:t xml:space="preserve">, en el archivo </w:t>
            </w:r>
            <w:r w:rsidRPr="275543A2">
              <w:rPr>
                <w:rFonts w:ascii="Aptos" w:eastAsia="Aptos" w:hAnsi="Aptos" w:cs="Aptos"/>
                <w:b/>
                <w:bCs/>
              </w:rPr>
              <w:t>INFESTADISTICA.TXT</w:t>
            </w:r>
            <w:r w:rsidRPr="275543A2">
              <w:rPr>
                <w:rFonts w:ascii="Aptos" w:eastAsia="Aptos" w:hAnsi="Aptos" w:cs="Aptos"/>
              </w:rPr>
              <w:t xml:space="preserve">, siguiendo el modelo del punto III.2 de la Comunicación “A” 8284 y las instrucciones de la Sección 69 de “Presentación de Informaciones al Banco Central”. </w:t>
            </w:r>
            <w:commentRangeStart w:id="0"/>
            <w:r w:rsidRPr="275543A2">
              <w:rPr>
                <w:rFonts w:ascii="Aptos" w:eastAsia="Aptos" w:hAnsi="Aptos" w:cs="Aptos"/>
              </w:rPr>
              <w:t>Se informan solo las partidas con cantidad mayor a cero</w:t>
            </w:r>
            <w:commentRangeEnd w:id="0"/>
            <w:r w:rsidRPr="275543A2">
              <w:rPr>
                <w:rStyle w:val="Refdecomentario"/>
                <w:rFonts w:ascii="Aptos" w:eastAsia="Aptos" w:hAnsi="Aptos" w:cs="Aptos"/>
                <w:sz w:val="24"/>
                <w:szCs w:val="24"/>
              </w:rPr>
              <w:commentReference w:id="0"/>
            </w:r>
            <w:r w:rsidRPr="275543A2">
              <w:rPr>
                <w:rFonts w:ascii="Aptos" w:eastAsia="Aptos" w:hAnsi="Aptos" w:cs="Aptos"/>
              </w:rPr>
              <w:t xml:space="preserve">, y </w:t>
            </w:r>
            <w:commentRangeStart w:id="1"/>
            <w:r w:rsidRPr="275543A2">
              <w:rPr>
                <w:rFonts w:ascii="Aptos" w:eastAsia="Aptos" w:hAnsi="Aptos" w:cs="Aptos"/>
              </w:rPr>
              <w:t>el vencimiento es el día 22 del mes siguiente al que corresponden los datos (o el día hábil inmediato posterior).</w:t>
            </w:r>
            <w:commentRangeEnd w:id="1"/>
            <w:r>
              <w:rPr>
                <w:rStyle w:val="Refdecomentario"/>
                <w:rFonts w:ascii="Aptos" w:eastAsia="Aptos" w:hAnsi="Aptos" w:cs="Aptos"/>
                <w:sz w:val="24"/>
                <w:szCs w:val="24"/>
              </w:rPr>
              <w:commentReference w:id="1"/>
            </w:r>
          </w:p>
          <w:p w14:paraId="7E8C4965" w14:textId="2F66AFE5" w:rsidR="275543A2" w:rsidRDefault="275543A2" w:rsidP="275543A2">
            <w:pPr>
              <w:rPr>
                <w:rFonts w:ascii="Aptos" w:eastAsia="Aptos" w:hAnsi="Aptos" w:cs="Aptos"/>
              </w:rPr>
            </w:pPr>
          </w:p>
          <w:p w14:paraId="13D6EFD5" w14:textId="0D33EBDB" w:rsidR="4487D870" w:rsidRDefault="4487D870" w:rsidP="275543A2">
            <w:pPr>
              <w:rPr>
                <w:rFonts w:ascii="Aptos" w:eastAsia="Aptos" w:hAnsi="Aptos" w:cs="Aptos"/>
              </w:rPr>
            </w:pPr>
            <w:commentRangeStart w:id="2"/>
            <w:r w:rsidRPr="275543A2">
              <w:rPr>
                <w:rFonts w:ascii="Aptos" w:eastAsia="Aptos" w:hAnsi="Aptos" w:cs="Aptos"/>
              </w:rPr>
              <w:t>RPTA NUEVO RAZONAMIENTO</w:t>
            </w:r>
            <w:commentRangeEnd w:id="2"/>
            <w:r>
              <w:rPr>
                <w:rStyle w:val="Refdecomentario"/>
                <w:rFonts w:ascii="Aptos" w:eastAsia="Aptos" w:hAnsi="Aptos" w:cs="Aptos"/>
                <w:sz w:val="24"/>
                <w:szCs w:val="24"/>
              </w:rPr>
              <w:commentReference w:id="2"/>
            </w:r>
          </w:p>
        </w:tc>
      </w:tr>
      <w:tr w:rsidR="275543A2" w14:paraId="774816E9" w14:textId="77777777" w:rsidTr="3157D90E">
        <w:trPr>
          <w:trHeight w:val="300"/>
        </w:trPr>
        <w:tc>
          <w:tcPr>
            <w:tcW w:w="4508" w:type="dxa"/>
          </w:tcPr>
          <w:p w14:paraId="44F8317E" w14:textId="7C0493C2" w:rsidR="4598A6BF" w:rsidRDefault="4598A6BF" w:rsidP="275543A2">
            <w:pPr>
              <w:rPr>
                <w:rFonts w:ascii="Aptos" w:eastAsia="Aptos" w:hAnsi="Aptos" w:cs="Aptos"/>
                <w:b/>
                <w:bCs/>
              </w:rPr>
            </w:pPr>
            <w:r w:rsidRPr="275543A2">
              <w:rPr>
                <w:rFonts w:ascii="Aptos" w:eastAsia="Aptos" w:hAnsi="Aptos" w:cs="Aptos"/>
                <w:b/>
                <w:bCs/>
              </w:rPr>
              <w:t>Al igual que en el primer reporte a armar, ¿qué pasa con todos los casos donde no tenemos información? ¿Cómo se completa?</w:t>
            </w:r>
          </w:p>
        </w:tc>
        <w:tc>
          <w:tcPr>
            <w:tcW w:w="4508" w:type="dxa"/>
          </w:tcPr>
          <w:p w14:paraId="1DD97191" w14:textId="191AC5CF" w:rsidR="1526CE24" w:rsidRDefault="1526CE24" w:rsidP="275543A2">
            <w:pPr>
              <w:rPr>
                <w:rFonts w:ascii="Aptos" w:eastAsia="Aptos" w:hAnsi="Aptos" w:cs="Aptos"/>
                <w:b/>
                <w:bCs/>
              </w:rPr>
            </w:pPr>
            <w:r w:rsidRPr="275543A2">
              <w:rPr>
                <w:rFonts w:ascii="Aptos" w:eastAsia="Aptos" w:hAnsi="Aptos" w:cs="Aptos"/>
                <w:b/>
                <w:bCs/>
              </w:rPr>
              <w:t>En caso de no tener información para determinadas partidas del Apartado B, ¿cómo se debe completar la presentación?</w:t>
            </w:r>
          </w:p>
        </w:tc>
      </w:tr>
      <w:tr w:rsidR="275543A2" w14:paraId="71F8A9DE" w14:textId="77777777" w:rsidTr="3157D90E">
        <w:trPr>
          <w:trHeight w:val="300"/>
        </w:trPr>
        <w:tc>
          <w:tcPr>
            <w:tcW w:w="4508" w:type="dxa"/>
          </w:tcPr>
          <w:p w14:paraId="08913738" w14:textId="47500294" w:rsidR="4598A6BF" w:rsidRDefault="4598A6BF">
            <w:r w:rsidRPr="275543A2">
              <w:rPr>
                <w:rFonts w:ascii="Aptos" w:eastAsia="Aptos" w:hAnsi="Aptos" w:cs="Aptos"/>
                <w:u w:val="single"/>
              </w:rPr>
              <w:t>Respuesta:</w:t>
            </w:r>
            <w:r w:rsidRPr="275543A2">
              <w:rPr>
                <w:rFonts w:ascii="Aptos" w:eastAsia="Aptos" w:hAnsi="Aptos" w:cs="Aptos"/>
              </w:rPr>
              <w:t xml:space="preserve"> De acuerdo con lo previsto en el punto 69.2.2.2. de la Com. "A" 7005, se grabarán las partidas que correspondan conforme al modelo de información contenido en el punto III.2 del apartado B de las NP. Deberán </w:t>
            </w:r>
            <w:r w:rsidRPr="275543A2">
              <w:rPr>
                <w:rFonts w:ascii="Aptos" w:eastAsia="Aptos" w:hAnsi="Aptos" w:cs="Aptos"/>
              </w:rPr>
              <w:lastRenderedPageBreak/>
              <w:t>grabarse las partidas que registren importe y las que no tengan importes no se grabarán.</w:t>
            </w:r>
          </w:p>
        </w:tc>
        <w:tc>
          <w:tcPr>
            <w:tcW w:w="4508" w:type="dxa"/>
          </w:tcPr>
          <w:p w14:paraId="403DADEA" w14:textId="5077833C" w:rsidR="76451BA0" w:rsidRDefault="76451BA0" w:rsidP="275543A2">
            <w:pPr>
              <w:rPr>
                <w:rFonts w:ascii="Aptos" w:eastAsia="Aptos" w:hAnsi="Aptos" w:cs="Aptos"/>
              </w:rPr>
            </w:pPr>
            <w:r w:rsidRPr="275543A2">
              <w:rPr>
                <w:rFonts w:ascii="Aptos" w:eastAsia="Aptos" w:hAnsi="Aptos" w:cs="Aptos"/>
                <w:u w:val="single"/>
              </w:rPr>
              <w:lastRenderedPageBreak/>
              <w:t xml:space="preserve">Respuesta: </w:t>
            </w:r>
            <w:r w:rsidRPr="275543A2">
              <w:rPr>
                <w:rFonts w:ascii="Aptos" w:eastAsia="Aptos" w:hAnsi="Aptos" w:cs="Aptos"/>
              </w:rPr>
              <w:t xml:space="preserve">Según la Sección 69, punto 69.2.2.2 de “Presentación de Informaciones al Banco Central” (Com. “A” 8285) y el modelo del punto III.2 del Apartado B de la Com. “A” 8284, solo deben grabarse en el archivo </w:t>
            </w:r>
            <w:r w:rsidRPr="275543A2">
              <w:rPr>
                <w:rFonts w:ascii="Aptos" w:eastAsia="Aptos" w:hAnsi="Aptos" w:cs="Aptos"/>
                <w:b/>
                <w:bCs/>
              </w:rPr>
              <w:lastRenderedPageBreak/>
              <w:t>INFESTADISTICA.TXT</w:t>
            </w:r>
            <w:r w:rsidRPr="275543A2">
              <w:rPr>
                <w:rFonts w:ascii="Aptos" w:eastAsia="Aptos" w:hAnsi="Aptos" w:cs="Aptos"/>
              </w:rPr>
              <w:t xml:space="preserve"> las partidas que registren valor mayor a cero en el campo “Cantidad”. Si el monto es menor a 1 (en miles), el campo “Monto total” se integrará con cero. Los campos sombreados del modelo se completarán con valor nulo (“;;”).</w:t>
            </w:r>
          </w:p>
        </w:tc>
      </w:tr>
      <w:tr w:rsidR="275543A2" w14:paraId="246F8552" w14:textId="77777777" w:rsidTr="3157D90E">
        <w:trPr>
          <w:trHeight w:val="300"/>
        </w:trPr>
        <w:tc>
          <w:tcPr>
            <w:tcW w:w="4508" w:type="dxa"/>
          </w:tcPr>
          <w:p w14:paraId="595BCF82" w14:textId="36861F71" w:rsidR="6FBFFA25" w:rsidRDefault="6FBFFA25" w:rsidP="275543A2">
            <w:pPr>
              <w:rPr>
                <w:rFonts w:ascii="Aptos" w:eastAsia="Aptos" w:hAnsi="Aptos" w:cs="Aptos"/>
              </w:rPr>
            </w:pPr>
            <w:r w:rsidRPr="275543A2">
              <w:rPr>
                <w:rFonts w:ascii="Aptos" w:eastAsia="Aptos" w:hAnsi="Aptos" w:cs="Aptos"/>
                <w:b/>
                <w:bCs/>
                <w:color w:val="000000" w:themeColor="text1"/>
              </w:rPr>
              <w:lastRenderedPageBreak/>
              <w:t>¿Existe la posibilidad de realizar una sesión remota de consultas y respuestas a través de cualquier plataforma para plantear y evacuar dudas?</w:t>
            </w:r>
          </w:p>
        </w:tc>
        <w:tc>
          <w:tcPr>
            <w:tcW w:w="4508" w:type="dxa"/>
          </w:tcPr>
          <w:p w14:paraId="3241E6CE" w14:textId="09A9F452" w:rsidR="7A679834" w:rsidRDefault="7A679834" w:rsidP="275543A2">
            <w:pPr>
              <w:rPr>
                <w:rFonts w:ascii="Aptos" w:eastAsia="Aptos" w:hAnsi="Aptos" w:cs="Aptos"/>
                <w:b/>
                <w:bCs/>
              </w:rPr>
            </w:pPr>
            <w:r w:rsidRPr="275543A2">
              <w:rPr>
                <w:rFonts w:ascii="Aptos" w:eastAsia="Aptos" w:hAnsi="Aptos" w:cs="Aptos"/>
                <w:b/>
                <w:bCs/>
              </w:rPr>
              <w:t>¿El BCRA ofrece actualmente sesiones remotas para consultas y respuestas sobre el régimen?</w:t>
            </w:r>
          </w:p>
        </w:tc>
      </w:tr>
      <w:tr w:rsidR="275543A2" w14:paraId="4F425522" w14:textId="77777777" w:rsidTr="3157D90E">
        <w:trPr>
          <w:trHeight w:val="300"/>
        </w:trPr>
        <w:tc>
          <w:tcPr>
            <w:tcW w:w="4508" w:type="dxa"/>
          </w:tcPr>
          <w:p w14:paraId="457BB529" w14:textId="3D9274A2" w:rsidR="6FBFFA25" w:rsidRDefault="6FBFFA25">
            <w:r w:rsidRPr="275543A2">
              <w:rPr>
                <w:rFonts w:ascii="Aptos" w:eastAsia="Aptos" w:hAnsi="Aptos" w:cs="Aptos"/>
                <w:u w:val="single"/>
              </w:rPr>
              <w:t>Respuesta:</w:t>
            </w:r>
            <w:r w:rsidRPr="275543A2">
              <w:rPr>
                <w:rFonts w:ascii="Aptos" w:eastAsia="Aptos" w:hAnsi="Aptos" w:cs="Aptos"/>
              </w:rPr>
              <w:t xml:space="preserve"> Por ahora, las consultas las estamos canalizando a través del correo electrónico.</w:t>
            </w:r>
          </w:p>
        </w:tc>
        <w:tc>
          <w:tcPr>
            <w:tcW w:w="4508" w:type="dxa"/>
          </w:tcPr>
          <w:p w14:paraId="5FC54746" w14:textId="7950EF58" w:rsidR="157042B1" w:rsidRDefault="157042B1">
            <w:r w:rsidRPr="275543A2">
              <w:rPr>
                <w:rFonts w:ascii="Aptos" w:eastAsia="Aptos" w:hAnsi="Aptos" w:cs="Aptos"/>
                <w:u w:val="single"/>
              </w:rPr>
              <w:t>Respuesta:</w:t>
            </w:r>
            <w:r w:rsidRPr="275543A2">
              <w:rPr>
                <w:rFonts w:ascii="Aptos" w:eastAsia="Aptos" w:hAnsi="Aptos" w:cs="Aptos"/>
              </w:rPr>
              <w:t xml:space="preserve"> No. Actualmente, todas las consultas se canalizan exclusivamente a través del correo electrónico habilitado para tal fin.</w:t>
            </w:r>
          </w:p>
        </w:tc>
      </w:tr>
      <w:tr w:rsidR="275543A2" w14:paraId="329F67A3" w14:textId="77777777" w:rsidTr="3157D90E">
        <w:trPr>
          <w:trHeight w:val="300"/>
        </w:trPr>
        <w:tc>
          <w:tcPr>
            <w:tcW w:w="4508" w:type="dxa"/>
          </w:tcPr>
          <w:p w14:paraId="2CCCAC60" w14:textId="0BE7AE9E" w:rsidR="157042B1" w:rsidRDefault="157042B1" w:rsidP="275543A2">
            <w:pPr>
              <w:rPr>
                <w:rFonts w:ascii="Aptos" w:eastAsia="Aptos" w:hAnsi="Aptos" w:cs="Aptos"/>
              </w:rPr>
            </w:pPr>
            <w:r w:rsidRPr="275543A2">
              <w:rPr>
                <w:rFonts w:ascii="Aptos" w:eastAsia="Aptos" w:hAnsi="Aptos" w:cs="Aptos"/>
                <w:b/>
                <w:bCs/>
              </w:rPr>
              <w:t>¿Tienen algún Modelo de nota o presentación, o un ejemplo sobre CONAU, con datos de prueba obviamente para asegurar que estamos procesando correctamente?</w:t>
            </w:r>
          </w:p>
        </w:tc>
        <w:tc>
          <w:tcPr>
            <w:tcW w:w="4508" w:type="dxa"/>
          </w:tcPr>
          <w:p w14:paraId="57767000" w14:textId="5E87A85B" w:rsidR="5F2A3F6C" w:rsidRDefault="5F2A3F6C" w:rsidP="275543A2">
            <w:pPr>
              <w:rPr>
                <w:rFonts w:ascii="Aptos" w:eastAsia="Aptos" w:hAnsi="Aptos" w:cs="Aptos"/>
                <w:b/>
                <w:bCs/>
              </w:rPr>
            </w:pPr>
            <w:r w:rsidRPr="275543A2">
              <w:rPr>
                <w:rFonts w:ascii="Aptos" w:eastAsia="Aptos" w:hAnsi="Aptos" w:cs="Aptos"/>
                <w:b/>
                <w:bCs/>
              </w:rPr>
              <w:t>¿El BCRA dispone de modelos o ejemplos de presentación CONAU con datos de prueba para validar el procesamiento?</w:t>
            </w:r>
          </w:p>
        </w:tc>
      </w:tr>
      <w:tr w:rsidR="275543A2" w14:paraId="25557D47" w14:textId="77777777" w:rsidTr="3157D90E">
        <w:trPr>
          <w:trHeight w:val="300"/>
        </w:trPr>
        <w:tc>
          <w:tcPr>
            <w:tcW w:w="4508" w:type="dxa"/>
          </w:tcPr>
          <w:p w14:paraId="02D2CC35" w14:textId="03AEC648" w:rsidR="157042B1" w:rsidRDefault="157042B1">
            <w:r w:rsidRPr="275543A2">
              <w:rPr>
                <w:rFonts w:ascii="Aptos" w:eastAsia="Aptos" w:hAnsi="Aptos" w:cs="Aptos"/>
                <w:u w:val="single"/>
              </w:rPr>
              <w:t>Respuesta:</w:t>
            </w:r>
            <w:r w:rsidRPr="275543A2">
              <w:rPr>
                <w:rFonts w:ascii="Aptos" w:eastAsia="Aptos" w:hAnsi="Aptos" w:cs="Aptos"/>
              </w:rPr>
              <w:t xml:space="preserve"> Respecto de si tenemos modelos de prueba de presentación, no contamos con esos ejemplos, y tampoco es una práctica de esta Institución realizarlo.</w:t>
            </w:r>
          </w:p>
        </w:tc>
        <w:tc>
          <w:tcPr>
            <w:tcW w:w="4508" w:type="dxa"/>
          </w:tcPr>
          <w:p w14:paraId="6EB4951A" w14:textId="1A56A267" w:rsidR="77BF6EA0" w:rsidRDefault="77BF6EA0">
            <w:r w:rsidRPr="275543A2">
              <w:rPr>
                <w:rFonts w:eastAsiaTheme="minorEastAsia"/>
                <w:u w:val="single"/>
              </w:rPr>
              <w:t>Respuesta:</w:t>
            </w:r>
            <w:r w:rsidRPr="275543A2">
              <w:rPr>
                <w:rFonts w:ascii="Aptos" w:eastAsia="Aptos" w:hAnsi="Aptos" w:cs="Aptos"/>
              </w:rPr>
              <w:t xml:space="preserve"> No. El BCRA no cuenta con modelos de prueba de presentación para CONAU y no es práctica institucional proveer este tipo de ejemplos.</w:t>
            </w:r>
          </w:p>
        </w:tc>
      </w:tr>
      <w:tr w:rsidR="559206F3" w14:paraId="4B3DC5E4" w14:textId="77777777" w:rsidTr="3157D90E">
        <w:trPr>
          <w:trHeight w:val="300"/>
        </w:trPr>
        <w:tc>
          <w:tcPr>
            <w:tcW w:w="4508" w:type="dxa"/>
          </w:tcPr>
          <w:p w14:paraId="3075725A" w14:textId="6469AC3E" w:rsidR="559206F3" w:rsidRDefault="559206F3" w:rsidP="559206F3">
            <w:pPr>
              <w:rPr>
                <w:rFonts w:ascii="Aptos" w:eastAsia="Aptos" w:hAnsi="Aptos" w:cs="Aptos"/>
                <w:u w:val="single"/>
              </w:rPr>
            </w:pPr>
          </w:p>
        </w:tc>
        <w:tc>
          <w:tcPr>
            <w:tcW w:w="4508" w:type="dxa"/>
          </w:tcPr>
          <w:p w14:paraId="469989FD" w14:textId="12118A9E" w:rsidR="66D03013" w:rsidRDefault="66D03013" w:rsidP="559206F3">
            <w:pPr>
              <w:rPr>
                <w:rFonts w:ascii="Aptos" w:eastAsia="Aptos" w:hAnsi="Aptos" w:cs="Aptos"/>
                <w:b/>
                <w:bCs/>
                <w:highlight w:val="green"/>
              </w:rPr>
            </w:pPr>
            <w:commentRangeStart w:id="3"/>
            <w:r w:rsidRPr="559206F3">
              <w:rPr>
                <w:rFonts w:ascii="Aptos" w:eastAsia="Aptos" w:hAnsi="Aptos" w:cs="Aptos"/>
                <w:b/>
                <w:bCs/>
                <w:highlight w:val="green"/>
              </w:rPr>
              <w:t>¿Puede un PSPCP operar en más de una entidad financiera? ¿Puede un PSPCP operar con más de una cuenta en la misma entidad financiera?</w:t>
            </w:r>
            <w:commentRangeEnd w:id="3"/>
            <w:r>
              <w:rPr>
                <w:rStyle w:val="Refdecomentario"/>
                <w:rFonts w:ascii="Aptos" w:eastAsia="Aptos" w:hAnsi="Aptos" w:cs="Aptos"/>
                <w:b/>
                <w:bCs/>
                <w:sz w:val="24"/>
                <w:szCs w:val="24"/>
                <w:highlight w:val="green"/>
              </w:rPr>
              <w:commentReference w:id="3"/>
            </w:r>
          </w:p>
        </w:tc>
      </w:tr>
      <w:tr w:rsidR="559206F3" w14:paraId="50FFBCE0" w14:textId="77777777" w:rsidTr="3157D90E">
        <w:trPr>
          <w:trHeight w:val="300"/>
        </w:trPr>
        <w:tc>
          <w:tcPr>
            <w:tcW w:w="4508" w:type="dxa"/>
          </w:tcPr>
          <w:p w14:paraId="41CF712B" w14:textId="2AC07378" w:rsidR="559206F3" w:rsidRDefault="559206F3" w:rsidP="559206F3">
            <w:pPr>
              <w:rPr>
                <w:rFonts w:ascii="Aptos" w:eastAsia="Aptos" w:hAnsi="Aptos" w:cs="Aptos"/>
                <w:u w:val="single"/>
              </w:rPr>
            </w:pPr>
          </w:p>
        </w:tc>
        <w:tc>
          <w:tcPr>
            <w:tcW w:w="4508" w:type="dxa"/>
          </w:tcPr>
          <w:p w14:paraId="7FE1C91A" w14:textId="4307E387" w:rsidR="66D03013" w:rsidRDefault="66D03013" w:rsidP="559206F3">
            <w:pPr>
              <w:shd w:val="clear" w:color="auto" w:fill="FFFFFF" w:themeFill="background1"/>
              <w:rPr>
                <w:rFonts w:ascii="Aptos" w:eastAsia="Aptos" w:hAnsi="Aptos" w:cs="Aptos"/>
              </w:rPr>
            </w:pPr>
            <w:commentRangeStart w:id="4"/>
            <w:r w:rsidRPr="559206F3">
              <w:rPr>
                <w:rFonts w:ascii="Aptos" w:eastAsia="Aptos" w:hAnsi="Aptos" w:cs="Aptos"/>
              </w:rPr>
              <w:t>Sí. De acuerdo con el Texto Ordenado de Proveedores de Servicios de Pago (punto 4.1.2 “Administración de Fondos”), se establece que “el 100 % de los fondos de los clientes deberá encontrarse depositado –en todo momento– en cuentas a la vista en peso</w:t>
            </w:r>
            <w:r w:rsidR="6B18DA32" w:rsidRPr="559206F3">
              <w:rPr>
                <w:rFonts w:ascii="Aptos" w:eastAsia="Aptos" w:hAnsi="Aptos" w:cs="Aptos"/>
              </w:rPr>
              <w:t>.</w:t>
            </w:r>
            <w:r w:rsidRPr="559206F3">
              <w:rPr>
                <w:rFonts w:ascii="Aptos" w:eastAsia="Aptos" w:hAnsi="Aptos" w:cs="Aptos"/>
              </w:rPr>
              <w:t>s en entidades financieras del país”.</w:t>
            </w:r>
          </w:p>
          <w:p w14:paraId="7B7A5581" w14:textId="0144F554" w:rsidR="559206F3" w:rsidRDefault="559206F3" w:rsidP="559206F3">
            <w:pPr>
              <w:shd w:val="clear" w:color="auto" w:fill="FFFFFF" w:themeFill="background1"/>
            </w:pPr>
          </w:p>
          <w:p w14:paraId="166508FC" w14:textId="40BB230F" w:rsidR="66D03013" w:rsidRDefault="66D03013" w:rsidP="559206F3">
            <w:pPr>
              <w:shd w:val="clear" w:color="auto" w:fill="FFFFFF" w:themeFill="background1"/>
              <w:rPr>
                <w:rFonts w:ascii="Aptos" w:eastAsia="Aptos" w:hAnsi="Aptos" w:cs="Aptos"/>
              </w:rPr>
            </w:pPr>
            <w:r w:rsidRPr="559206F3">
              <w:rPr>
                <w:rFonts w:ascii="Aptos" w:eastAsia="Aptos" w:hAnsi="Aptos" w:cs="Aptos"/>
              </w:rPr>
              <w:t xml:space="preserve">Por lo tanto, el PSPCP puede mantener las cuentas en una o en varias entidades financieras, en tanto se cumpla la exigencia de que el total de los fondos permanezca depositado en el sistema financiero local. Esto implica que no existe exclusividad con un único banco y no se limita la cantidad de cuentas que </w:t>
            </w:r>
            <w:r w:rsidRPr="559206F3">
              <w:rPr>
                <w:rFonts w:ascii="Aptos" w:eastAsia="Aptos" w:hAnsi="Aptos" w:cs="Aptos"/>
              </w:rPr>
              <w:lastRenderedPageBreak/>
              <w:t>un PSPCP puede mantener en una misma entidad financiera.</w:t>
            </w:r>
            <w:commentRangeEnd w:id="4"/>
            <w:r>
              <w:rPr>
                <w:rStyle w:val="Refdecomentario"/>
                <w:rFonts w:ascii="Aptos" w:eastAsia="Aptos" w:hAnsi="Aptos" w:cs="Aptos"/>
                <w:sz w:val="24"/>
                <w:szCs w:val="24"/>
              </w:rPr>
              <w:commentReference w:id="4"/>
            </w:r>
          </w:p>
        </w:tc>
      </w:tr>
      <w:tr w:rsidR="275543A2" w14:paraId="7B9B38D3" w14:textId="77777777" w:rsidTr="3157D90E">
        <w:trPr>
          <w:trHeight w:val="300"/>
        </w:trPr>
        <w:tc>
          <w:tcPr>
            <w:tcW w:w="9016" w:type="dxa"/>
            <w:gridSpan w:val="2"/>
          </w:tcPr>
          <w:p w14:paraId="122FDF1C" w14:textId="5E81BAE8" w:rsidR="77BF6EA0" w:rsidRDefault="77BF6EA0" w:rsidP="275543A2">
            <w:pPr>
              <w:jc w:val="center"/>
              <w:rPr>
                <w:b/>
                <w:bCs/>
                <w:color w:val="002060"/>
              </w:rPr>
            </w:pPr>
            <w:r w:rsidRPr="275543A2">
              <w:rPr>
                <w:b/>
                <w:bCs/>
                <w:color w:val="002060"/>
              </w:rPr>
              <w:lastRenderedPageBreak/>
              <w:t>APARTADO A: INFORMACIÓN PARA SUPERVISIÓN</w:t>
            </w:r>
          </w:p>
        </w:tc>
      </w:tr>
      <w:tr w:rsidR="275543A2" w14:paraId="2A85E94A" w14:textId="77777777" w:rsidTr="3157D90E">
        <w:trPr>
          <w:trHeight w:val="300"/>
        </w:trPr>
        <w:tc>
          <w:tcPr>
            <w:tcW w:w="4508" w:type="dxa"/>
          </w:tcPr>
          <w:p w14:paraId="7067F7F5" w14:textId="2448A93F" w:rsidR="77BF6EA0" w:rsidRDefault="77BF6EA0" w:rsidP="275543A2">
            <w:pPr>
              <w:rPr>
                <w:rFonts w:ascii="Aptos" w:eastAsia="Aptos" w:hAnsi="Aptos" w:cs="Aptos"/>
                <w:b/>
                <w:bCs/>
              </w:rPr>
            </w:pPr>
            <w:r w:rsidRPr="275543A2">
              <w:rPr>
                <w:rFonts w:ascii="Aptos" w:eastAsia="Aptos" w:hAnsi="Aptos" w:cs="Aptos"/>
                <w:b/>
                <w:bCs/>
              </w:rPr>
              <w:t>¿Debemos informar las Cuentas de Clientes con saldo menor o igual a cero o solamente?</w:t>
            </w:r>
          </w:p>
        </w:tc>
        <w:tc>
          <w:tcPr>
            <w:tcW w:w="4508" w:type="dxa"/>
          </w:tcPr>
          <w:p w14:paraId="6F5D86FE" w14:textId="4E39DF72" w:rsidR="5B549E8A" w:rsidRDefault="5B549E8A" w:rsidP="275543A2">
            <w:pPr>
              <w:rPr>
                <w:rFonts w:eastAsiaTheme="minorEastAsia"/>
                <w:b/>
                <w:bCs/>
              </w:rPr>
            </w:pPr>
            <w:r w:rsidRPr="275543A2">
              <w:rPr>
                <w:rFonts w:eastAsiaTheme="minorEastAsia"/>
                <w:b/>
                <w:bCs/>
              </w:rPr>
              <w:t>En el Apartado A, ¿deben informarse también las Cuentas de Clientes sin saldo o únicamente las que registren saldo?</w:t>
            </w:r>
          </w:p>
        </w:tc>
      </w:tr>
      <w:tr w:rsidR="275543A2" w14:paraId="5C996625" w14:textId="77777777" w:rsidTr="3157D90E">
        <w:trPr>
          <w:trHeight w:val="300"/>
        </w:trPr>
        <w:tc>
          <w:tcPr>
            <w:tcW w:w="4508" w:type="dxa"/>
          </w:tcPr>
          <w:p w14:paraId="31194325" w14:textId="7CB49FF5" w:rsidR="77BF6EA0" w:rsidRDefault="77BF6EA0">
            <w:r w:rsidRPr="275543A2">
              <w:rPr>
                <w:rFonts w:ascii="Aptos" w:eastAsia="Aptos" w:hAnsi="Aptos" w:cs="Aptos"/>
                <w:u w:val="single"/>
              </w:rPr>
              <w:t>Respuesta:</w:t>
            </w:r>
            <w:r w:rsidRPr="275543A2">
              <w:rPr>
                <w:rFonts w:ascii="Aptos" w:eastAsia="Aptos" w:hAnsi="Aptos" w:cs="Aptos"/>
              </w:rPr>
              <w:t xml:space="preserve"> En la partida “Sumatoria de saldos de cuentas de pagos clientes” (partida 10000dd) deben informarse sólo las cuentas que tienen saldo y en el campo “Cantidad” se indica efectivamente la cantidad de cuentas con saldo. Por otro lado, en la partida “Cantidad total de cuentas de pago de clientes” (partida 50000dd) deben informar la totalidad de las cuentas (con o sin saldo).</w:t>
            </w:r>
          </w:p>
        </w:tc>
        <w:tc>
          <w:tcPr>
            <w:tcW w:w="4508" w:type="dxa"/>
          </w:tcPr>
          <w:p w14:paraId="7B349AE7" w14:textId="09431F0A" w:rsidR="249D4932" w:rsidRDefault="249D4932" w:rsidP="275543A2">
            <w:pPr>
              <w:rPr>
                <w:rFonts w:ascii="Aptos" w:eastAsia="Aptos" w:hAnsi="Aptos" w:cs="Aptos"/>
                <w:b/>
                <w:bCs/>
              </w:rPr>
            </w:pPr>
            <w:r w:rsidRPr="275543A2">
              <w:rPr>
                <w:rFonts w:ascii="Aptos" w:eastAsia="Aptos" w:hAnsi="Aptos" w:cs="Aptos"/>
                <w:u w:val="single"/>
              </w:rPr>
              <w:t>Respuesta:</w:t>
            </w:r>
            <w:r w:rsidRPr="275543A2">
              <w:rPr>
                <w:rFonts w:ascii="Aptos" w:eastAsia="Aptos" w:hAnsi="Aptos" w:cs="Aptos"/>
              </w:rPr>
              <w:t xml:space="preserve"> No, en la partida </w:t>
            </w:r>
            <w:r w:rsidRPr="275543A2">
              <w:rPr>
                <w:rFonts w:ascii="Aptos" w:eastAsia="Aptos" w:hAnsi="Aptos" w:cs="Aptos"/>
                <w:b/>
                <w:bCs/>
              </w:rPr>
              <w:t>10000dd (</w:t>
            </w:r>
            <w:r w:rsidRPr="275543A2">
              <w:rPr>
                <w:rFonts w:ascii="Aptos" w:eastAsia="Aptos" w:hAnsi="Aptos" w:cs="Aptos"/>
              </w:rPr>
              <w:t xml:space="preserve">“Sumatoria de saldos de cuentas de pago de clientes”) se informan únicamente las cuentas que registren saldo, consignando en el campo “Cantidad” la cantidad efectiva de dichas cuentas. En cambio, en la partida </w:t>
            </w:r>
            <w:r w:rsidRPr="275543A2">
              <w:rPr>
                <w:rFonts w:ascii="Aptos" w:eastAsia="Aptos" w:hAnsi="Aptos" w:cs="Aptos"/>
                <w:b/>
                <w:bCs/>
              </w:rPr>
              <w:t>50000dd</w:t>
            </w:r>
            <w:r w:rsidRPr="275543A2">
              <w:rPr>
                <w:rFonts w:ascii="Aptos" w:eastAsia="Aptos" w:hAnsi="Aptos" w:cs="Aptos"/>
              </w:rPr>
              <w:t xml:space="preserve"> (“Cantidad total de cuentas de pago de los clientes”) se debe informar la totalidad de las cuentas, tengan o no saldo, conforme al modelo de información del punto II.2 del Apartado A de la Comunicación “A” 8284.</w:t>
            </w:r>
          </w:p>
        </w:tc>
      </w:tr>
      <w:tr w:rsidR="275543A2" w14:paraId="77707BC3" w14:textId="77777777" w:rsidTr="3157D90E">
        <w:trPr>
          <w:trHeight w:val="300"/>
        </w:trPr>
        <w:tc>
          <w:tcPr>
            <w:tcW w:w="4508" w:type="dxa"/>
          </w:tcPr>
          <w:p w14:paraId="17FD79EB" w14:textId="22700886" w:rsidR="275543A2" w:rsidRDefault="275543A2" w:rsidP="275543A2">
            <w:pPr>
              <w:rPr>
                <w:rFonts w:ascii="Aptos" w:eastAsia="Aptos" w:hAnsi="Aptos" w:cs="Aptos"/>
                <w:u w:val="single"/>
              </w:rPr>
            </w:pPr>
          </w:p>
        </w:tc>
        <w:tc>
          <w:tcPr>
            <w:tcW w:w="4508" w:type="dxa"/>
          </w:tcPr>
          <w:p w14:paraId="424E7CA9" w14:textId="23EC79E4" w:rsidR="738A4425" w:rsidRDefault="738A4425" w:rsidP="275543A2">
            <w:pPr>
              <w:rPr>
                <w:rFonts w:ascii="Aptos" w:eastAsia="Aptos" w:hAnsi="Aptos" w:cs="Aptos"/>
                <w:b/>
                <w:bCs/>
              </w:rPr>
            </w:pPr>
            <w:r w:rsidRPr="275543A2">
              <w:rPr>
                <w:rFonts w:ascii="Aptos" w:eastAsia="Aptos" w:hAnsi="Aptos" w:cs="Aptos"/>
                <w:b/>
                <w:bCs/>
              </w:rPr>
              <w:t>Pregunta adicional sugerida: En el Apartado A, ¿las partidas se informan solo al cierre de mes o para cada día del período?</w:t>
            </w:r>
          </w:p>
        </w:tc>
      </w:tr>
      <w:tr w:rsidR="275543A2" w14:paraId="3693C333" w14:textId="77777777" w:rsidTr="3157D90E">
        <w:trPr>
          <w:trHeight w:val="300"/>
        </w:trPr>
        <w:tc>
          <w:tcPr>
            <w:tcW w:w="4508" w:type="dxa"/>
          </w:tcPr>
          <w:p w14:paraId="65D58880" w14:textId="0D7CBBBD" w:rsidR="275543A2" w:rsidRDefault="275543A2" w:rsidP="275543A2">
            <w:pPr>
              <w:rPr>
                <w:rFonts w:ascii="Aptos" w:eastAsia="Aptos" w:hAnsi="Aptos" w:cs="Aptos"/>
                <w:u w:val="single"/>
              </w:rPr>
            </w:pPr>
          </w:p>
        </w:tc>
        <w:tc>
          <w:tcPr>
            <w:tcW w:w="4508" w:type="dxa"/>
          </w:tcPr>
          <w:p w14:paraId="576A88AB" w14:textId="69C43DB1" w:rsidR="738A4425" w:rsidRDefault="738A4425">
            <w:r w:rsidRPr="275543A2">
              <w:rPr>
                <w:rFonts w:eastAsiaTheme="minorEastAsia"/>
                <w:u w:val="single"/>
              </w:rPr>
              <w:t>Respuesta</w:t>
            </w:r>
            <w:r w:rsidRPr="275543A2">
              <w:rPr>
                <w:rFonts w:ascii="Aptos" w:eastAsia="Aptos" w:hAnsi="Aptos" w:cs="Aptos"/>
                <w:b/>
                <w:bCs/>
              </w:rPr>
              <w:t>:</w:t>
            </w:r>
            <w:r w:rsidRPr="275543A2">
              <w:rPr>
                <w:rFonts w:ascii="Aptos" w:eastAsia="Aptos" w:hAnsi="Aptos" w:cs="Aptos"/>
              </w:rPr>
              <w:t xml:space="preserve"> Según el punto II.1 de la Comunicación “A” 8284, la información del Apartado A debe integrarse </w:t>
            </w:r>
            <w:r w:rsidRPr="275543A2">
              <w:rPr>
                <w:rFonts w:ascii="Aptos" w:eastAsia="Aptos" w:hAnsi="Aptos" w:cs="Aptos"/>
                <w:b/>
                <w:bCs/>
              </w:rPr>
              <w:t>para cada día del mes bajo informe</w:t>
            </w:r>
            <w:r w:rsidRPr="275543A2">
              <w:rPr>
                <w:rFonts w:ascii="Aptos" w:eastAsia="Aptos" w:hAnsi="Aptos" w:cs="Aptos"/>
              </w:rPr>
              <w:t xml:space="preserve">, incluyendo días hábiles e inhábiles. Esto implica que partidas como la </w:t>
            </w:r>
            <w:r w:rsidRPr="275543A2">
              <w:rPr>
                <w:rFonts w:ascii="Aptos" w:eastAsia="Aptos" w:hAnsi="Aptos" w:cs="Aptos"/>
                <w:b/>
                <w:bCs/>
              </w:rPr>
              <w:t>10000dd</w:t>
            </w:r>
            <w:r w:rsidRPr="275543A2">
              <w:rPr>
                <w:rFonts w:ascii="Aptos" w:eastAsia="Aptos" w:hAnsi="Aptos" w:cs="Aptos"/>
              </w:rPr>
              <w:t xml:space="preserve"> y la </w:t>
            </w:r>
            <w:r w:rsidRPr="275543A2">
              <w:rPr>
                <w:rFonts w:ascii="Aptos" w:eastAsia="Aptos" w:hAnsi="Aptos" w:cs="Aptos"/>
                <w:b/>
                <w:bCs/>
              </w:rPr>
              <w:t>50000dd</w:t>
            </w:r>
            <w:r w:rsidRPr="275543A2">
              <w:rPr>
                <w:rFonts w:ascii="Aptos" w:eastAsia="Aptos" w:hAnsi="Aptos" w:cs="Aptos"/>
              </w:rPr>
              <w:t xml:space="preserve"> se reportan diariamente y no únicamente al cierre del mes.</w:t>
            </w:r>
          </w:p>
        </w:tc>
      </w:tr>
      <w:tr w:rsidR="009F38B1" w14:paraId="2B99944D" w14:textId="77777777" w:rsidTr="3157D90E">
        <w:trPr>
          <w:trHeight w:val="300"/>
        </w:trPr>
        <w:tc>
          <w:tcPr>
            <w:tcW w:w="4508" w:type="dxa"/>
          </w:tcPr>
          <w:p w14:paraId="0F529B78" w14:textId="77777777" w:rsidR="009F38B1" w:rsidRDefault="009F38B1" w:rsidP="275543A2">
            <w:pPr>
              <w:rPr>
                <w:rFonts w:ascii="Aptos" w:eastAsia="Aptos" w:hAnsi="Aptos" w:cs="Aptos"/>
                <w:u w:val="single"/>
              </w:rPr>
            </w:pPr>
          </w:p>
        </w:tc>
        <w:tc>
          <w:tcPr>
            <w:tcW w:w="4508" w:type="dxa"/>
          </w:tcPr>
          <w:p w14:paraId="4BB3EBF5" w14:textId="77777777" w:rsidR="009F38B1" w:rsidRDefault="009F38B1" w:rsidP="009F38B1">
            <w:pPr>
              <w:rPr>
                <w:b/>
                <w:highlight w:val="yellow"/>
              </w:rPr>
            </w:pPr>
            <w:commentRangeStart w:id="5"/>
            <w:r w:rsidRPr="009F38B1">
              <w:rPr>
                <w:b/>
                <w:highlight w:val="yellow"/>
              </w:rPr>
              <w:t>En el Apartado A, considerando que los saldos se informan diariamente (por ejemplo, para las partidas 1000001 y 2000001), ¿a qué momento del día corresponde el saldo a reportar? ¿Cómo se procede en los días inhábiles?</w:t>
            </w:r>
            <w:commentRangeEnd w:id="5"/>
            <w:r>
              <w:rPr>
                <w:rStyle w:val="Refdecomentario"/>
                <w:b/>
                <w:sz w:val="24"/>
                <w:szCs w:val="24"/>
                <w:highlight w:val="yellow"/>
              </w:rPr>
              <w:commentReference w:id="5"/>
            </w:r>
          </w:p>
          <w:p w14:paraId="465CC662" w14:textId="77777777" w:rsidR="009F38B1" w:rsidRDefault="009F38B1" w:rsidP="009F38B1">
            <w:pPr>
              <w:rPr>
                <w:highlight w:val="yellow"/>
              </w:rPr>
            </w:pPr>
          </w:p>
          <w:p w14:paraId="78D4694E" w14:textId="77777777" w:rsidR="009F38B1" w:rsidRDefault="009F38B1" w:rsidP="009F38B1">
            <w:pPr>
              <w:rPr>
                <w:highlight w:val="yellow"/>
              </w:rPr>
            </w:pPr>
            <w:r w:rsidRPr="009F38B1">
              <w:rPr>
                <w:highlight w:val="yellow"/>
              </w:rPr>
              <w:t>Respuesta: A los fines de la presentación de la información correspondiente al Apartado A del RI PSPCP, corresponde realizar un corte diario a las 15:00 horas e informar los saldos a ese momento de corte.</w:t>
            </w:r>
          </w:p>
          <w:p w14:paraId="665D5A9C" w14:textId="01857B36" w:rsidR="009F38B1" w:rsidRPr="009F38B1" w:rsidRDefault="009F38B1" w:rsidP="009F38B1">
            <w:pPr>
              <w:rPr>
                <w:highlight w:val="yellow"/>
              </w:rPr>
            </w:pPr>
            <w:r w:rsidRPr="009F38B1">
              <w:rPr>
                <w:highlight w:val="yellow"/>
              </w:rPr>
              <w:lastRenderedPageBreak/>
              <w:t>En cuanto a los días inhábiles, se considera adecuado repetir el saldo correspondiente al día hábil inmediato anterior.</w:t>
            </w:r>
          </w:p>
          <w:p w14:paraId="6F22F839" w14:textId="17EFD224" w:rsidR="009F38B1" w:rsidRPr="275543A2" w:rsidRDefault="009F38B1">
            <w:pPr>
              <w:rPr>
                <w:rFonts w:eastAsiaTheme="minorEastAsia"/>
                <w:u w:val="single"/>
              </w:rPr>
            </w:pPr>
          </w:p>
        </w:tc>
      </w:tr>
      <w:tr w:rsidR="275543A2" w14:paraId="67EEE734" w14:textId="77777777" w:rsidTr="3157D90E">
        <w:trPr>
          <w:trHeight w:val="300"/>
        </w:trPr>
        <w:tc>
          <w:tcPr>
            <w:tcW w:w="4508" w:type="dxa"/>
          </w:tcPr>
          <w:p w14:paraId="7794D916" w14:textId="1CCFBD9F" w:rsidR="34182A30" w:rsidRDefault="34182A30" w:rsidP="275543A2">
            <w:pPr>
              <w:rPr>
                <w:rFonts w:ascii="Aptos" w:eastAsia="Aptos" w:hAnsi="Aptos" w:cs="Aptos"/>
              </w:rPr>
            </w:pPr>
            <w:r w:rsidRPr="275543A2">
              <w:rPr>
                <w:rFonts w:ascii="Aptos" w:eastAsia="Aptos" w:hAnsi="Aptos" w:cs="Aptos"/>
                <w:b/>
                <w:bCs/>
              </w:rPr>
              <w:lastRenderedPageBreak/>
              <w:t>En el caso de tener los saldos en cuentas a la vista de entidades financieras en más de un CBU, ¿cómo se armar el archivo? ¿Hay que poner un CBU atrás del otro?</w:t>
            </w:r>
          </w:p>
        </w:tc>
        <w:tc>
          <w:tcPr>
            <w:tcW w:w="4508" w:type="dxa"/>
          </w:tcPr>
          <w:p w14:paraId="335DB445" w14:textId="08DD18E2" w:rsidR="25CC3717" w:rsidRDefault="25CC3717" w:rsidP="275543A2">
            <w:pPr>
              <w:rPr>
                <w:rFonts w:ascii="Aptos" w:eastAsia="Aptos" w:hAnsi="Aptos" w:cs="Aptos"/>
                <w:b/>
                <w:bCs/>
              </w:rPr>
            </w:pPr>
            <w:r w:rsidRPr="275543A2">
              <w:rPr>
                <w:rFonts w:ascii="Aptos" w:eastAsia="Aptos" w:hAnsi="Aptos" w:cs="Aptos"/>
                <w:b/>
                <w:bCs/>
              </w:rPr>
              <w:t>Si los fondos de clientes se encuentran en más de un CBU, ¿cómo debe informarse la partida 20000dd?</w:t>
            </w:r>
          </w:p>
        </w:tc>
      </w:tr>
      <w:tr w:rsidR="275543A2" w14:paraId="1A8AE351" w14:textId="77777777" w:rsidTr="3157D90E">
        <w:trPr>
          <w:trHeight w:val="300"/>
        </w:trPr>
        <w:tc>
          <w:tcPr>
            <w:tcW w:w="4508" w:type="dxa"/>
          </w:tcPr>
          <w:p w14:paraId="54FB4E45" w14:textId="68715CF5" w:rsidR="34182A30" w:rsidRDefault="34182A30">
            <w:r w:rsidRPr="275543A2">
              <w:rPr>
                <w:rFonts w:ascii="Aptos" w:eastAsia="Aptos" w:hAnsi="Aptos" w:cs="Aptos"/>
                <w:u w:val="single"/>
              </w:rPr>
              <w:t>Respuesta:</w:t>
            </w:r>
            <w:r w:rsidRPr="275543A2">
              <w:rPr>
                <w:rFonts w:ascii="Aptos" w:eastAsia="Aptos" w:hAnsi="Aptos" w:cs="Aptos"/>
              </w:rPr>
              <w:t xml:space="preserve"> Deberán grabar un registro por cada CBU, es decir, para la partida 20000dd grabarán tantos registros como CBU posean.</w:t>
            </w:r>
          </w:p>
        </w:tc>
        <w:tc>
          <w:tcPr>
            <w:tcW w:w="4508" w:type="dxa"/>
          </w:tcPr>
          <w:p w14:paraId="45B9C32D" w14:textId="7F73C1DF" w:rsidR="6F62E79B" w:rsidRDefault="6F62E79B" w:rsidP="275543A2">
            <w:pPr>
              <w:rPr>
                <w:rFonts w:ascii="Aptos" w:eastAsia="Aptos" w:hAnsi="Aptos" w:cs="Aptos"/>
              </w:rPr>
            </w:pPr>
            <w:r w:rsidRPr="275543A2">
              <w:rPr>
                <w:rFonts w:ascii="Aptos" w:eastAsia="Aptos" w:hAnsi="Aptos" w:cs="Aptos"/>
                <w:u w:val="single"/>
              </w:rPr>
              <w:t xml:space="preserve">Respuesta: </w:t>
            </w:r>
            <w:r w:rsidRPr="275543A2">
              <w:rPr>
                <w:rFonts w:ascii="Aptos" w:eastAsia="Aptos" w:hAnsi="Aptos" w:cs="Aptos"/>
              </w:rPr>
              <w:t xml:space="preserve">Para la partida </w:t>
            </w:r>
            <w:r w:rsidRPr="275543A2">
              <w:rPr>
                <w:rFonts w:ascii="Aptos" w:eastAsia="Aptos" w:hAnsi="Aptos" w:cs="Aptos"/>
                <w:b/>
                <w:bCs/>
              </w:rPr>
              <w:t>20000dd</w:t>
            </w:r>
            <w:r w:rsidRPr="275543A2">
              <w:rPr>
                <w:rFonts w:ascii="Aptos" w:eastAsia="Aptos" w:hAnsi="Aptos" w:cs="Aptos"/>
              </w:rPr>
              <w:t xml:space="preserve"> (“Saldos en cuentas a la vista por entidad financiera”), se debe grabar un registro por cada CBU en el que se encuentren depositados fondos de clientes, consignando el saldo correspondiente y el CBU asociado. </w:t>
            </w:r>
            <w:r w:rsidRPr="275543A2">
              <w:rPr>
                <w:rFonts w:ascii="Aptos" w:eastAsia="Aptos" w:hAnsi="Aptos" w:cs="Aptos"/>
                <w:highlight w:val="yellow"/>
              </w:rPr>
              <w:t>Esto implica que, si el PSPCP posee más de una cuenta bancaria para la acreditación de fondos, deberá incluir en el archivo tantos registros de la partida 20000dd como CBU posea, conforme al modelo del punto II.2 del Apartado A de la Comunicación “A” 8284.</w:t>
            </w:r>
          </w:p>
          <w:p w14:paraId="26F6A61A" w14:textId="61777D86" w:rsidR="275543A2" w:rsidRDefault="275543A2" w:rsidP="275543A2">
            <w:pPr>
              <w:rPr>
                <w:rFonts w:ascii="Aptos" w:eastAsia="Aptos" w:hAnsi="Aptos" w:cs="Aptos"/>
                <w:highlight w:val="yellow"/>
              </w:rPr>
            </w:pPr>
          </w:p>
          <w:p w14:paraId="1F02A224" w14:textId="59DFEC3D" w:rsidR="1E9244F9" w:rsidRDefault="1E9244F9" w:rsidP="275543A2">
            <w:pPr>
              <w:rPr>
                <w:rFonts w:ascii="Aptos" w:eastAsia="Aptos" w:hAnsi="Aptos" w:cs="Aptos"/>
              </w:rPr>
            </w:pPr>
            <w:r w:rsidRPr="275543A2">
              <w:rPr>
                <w:rFonts w:ascii="Aptos" w:eastAsia="Aptos" w:hAnsi="Aptos" w:cs="Aptos"/>
                <w:highlight w:val="yellow"/>
              </w:rPr>
              <w:t>Explicación</w:t>
            </w:r>
            <w:r w:rsidR="3AA28A04" w:rsidRPr="275543A2">
              <w:rPr>
                <w:rFonts w:ascii="Aptos" w:eastAsia="Aptos" w:hAnsi="Aptos" w:cs="Aptos"/>
                <w:highlight w:val="yellow"/>
              </w:rPr>
              <w:t xml:space="preserve"> para entender</w:t>
            </w:r>
            <w:r w:rsidRPr="275543A2">
              <w:rPr>
                <w:rFonts w:ascii="Aptos" w:eastAsia="Aptos" w:hAnsi="Aptos" w:cs="Aptos"/>
              </w:rPr>
              <w:t>: El R.I. dice que por c/ entidad financiera dónde se acrediten fondos de clientes se debe informar CBU y saldo en cuenta a la vista; y el</w:t>
            </w:r>
            <w:r w:rsidR="222CCB14" w:rsidRPr="275543A2">
              <w:rPr>
                <w:rFonts w:ascii="Aptos" w:eastAsia="Aptos" w:hAnsi="Aptos" w:cs="Aptos"/>
              </w:rPr>
              <w:t xml:space="preserve"> modelo del Apartado A muestra la partida 20000dd: “Saldos en cuentas a la vista por entidad financiera” con una columna “CBU/Nro registro del Fondo”. Esto es identificar cada CBU con su saldo. </w:t>
            </w:r>
          </w:p>
          <w:p w14:paraId="0D904117" w14:textId="487190F2" w:rsidR="222CCB14" w:rsidRDefault="222CCB14" w:rsidP="275543A2">
            <w:pPr>
              <w:rPr>
                <w:rFonts w:ascii="Aptos" w:eastAsia="Aptos" w:hAnsi="Aptos" w:cs="Aptos"/>
              </w:rPr>
            </w:pPr>
            <w:r w:rsidRPr="275543A2">
              <w:rPr>
                <w:rFonts w:ascii="Aptos" w:eastAsia="Aptos" w:hAnsi="Aptos" w:cs="Aptos"/>
              </w:rPr>
              <w:t>Como se envía el archivo: RUNOR - Sección 69, el diseño del CUENTASCLIENTES.TXT define el campo 4 = “CBU / Nro. Fondo de dinero”; es decir, el registro incluye el CBU.</w:t>
            </w:r>
          </w:p>
          <w:p w14:paraId="70B72A08" w14:textId="08AB0FA9" w:rsidR="222CCB14" w:rsidRDefault="222CCB14" w:rsidP="275543A2">
            <w:pPr>
              <w:rPr>
                <w:rFonts w:ascii="Aptos" w:eastAsia="Aptos" w:hAnsi="Aptos" w:cs="Aptos"/>
              </w:rPr>
            </w:pPr>
            <w:r w:rsidRPr="275543A2">
              <w:rPr>
                <w:rFonts w:ascii="Aptos" w:eastAsia="Aptos" w:hAnsi="Aptos" w:cs="Aptos"/>
              </w:rPr>
              <w:t xml:space="preserve">Por qué es 1 registro por CBU? La tabla de errores de la RUNOR tipifica “NOVEDAD DUPLICADA” cuando se informa más de un registro con idéntica combinación de campos 1 y 4 en CUENTASCLIENTE.TXT (campo 1 = código de partida; campo 4 = CBU). </w:t>
            </w:r>
            <w:r w:rsidR="5B41AADB" w:rsidRPr="275543A2">
              <w:rPr>
                <w:rFonts w:ascii="Aptos" w:eastAsia="Aptos" w:hAnsi="Aptos" w:cs="Aptos"/>
              </w:rPr>
              <w:lastRenderedPageBreak/>
              <w:t>Osea, para una misma partida 20000dd y mismo CBU, no pueden existir dos registros; por lo tanto, corresponde 1 registro por cada CBU</w:t>
            </w:r>
            <w:r w:rsidR="018CC049" w:rsidRPr="275543A2">
              <w:rPr>
                <w:rFonts w:ascii="Aptos" w:eastAsia="Aptos" w:hAnsi="Aptos" w:cs="Aptos"/>
              </w:rPr>
              <w:t>.</w:t>
            </w:r>
          </w:p>
        </w:tc>
      </w:tr>
      <w:tr w:rsidR="275543A2" w14:paraId="4FE3D33B" w14:textId="77777777" w:rsidTr="3157D90E">
        <w:trPr>
          <w:trHeight w:val="300"/>
        </w:trPr>
        <w:tc>
          <w:tcPr>
            <w:tcW w:w="4508" w:type="dxa"/>
          </w:tcPr>
          <w:p w14:paraId="5E262A9D" w14:textId="1D93C3DB" w:rsidR="0E2097E3" w:rsidRDefault="0E2097E3" w:rsidP="275543A2">
            <w:pPr>
              <w:rPr>
                <w:rFonts w:ascii="Aptos" w:eastAsia="Aptos" w:hAnsi="Aptos" w:cs="Aptos"/>
                <w:b/>
                <w:bCs/>
              </w:rPr>
            </w:pPr>
            <w:r w:rsidRPr="275543A2">
              <w:rPr>
                <w:rFonts w:ascii="Aptos" w:eastAsia="Aptos" w:hAnsi="Aptos" w:cs="Aptos"/>
                <w:b/>
                <w:bCs/>
              </w:rPr>
              <w:lastRenderedPageBreak/>
              <w:t>¿Qué información se deberá enviar la partida 20000dd? Y ¿Qué diferencia habría entre la información a presentar entre la partida 10000dd y la 20000dd?</w:t>
            </w:r>
          </w:p>
        </w:tc>
        <w:tc>
          <w:tcPr>
            <w:tcW w:w="4508" w:type="dxa"/>
          </w:tcPr>
          <w:p w14:paraId="20E28DB9" w14:textId="6DE2775C" w:rsidR="1A2B2BEA" w:rsidRDefault="1A2B2BEA" w:rsidP="275543A2">
            <w:r w:rsidRPr="275543A2">
              <w:rPr>
                <w:rFonts w:ascii="Aptos" w:eastAsia="Aptos" w:hAnsi="Aptos" w:cs="Aptos"/>
                <w:b/>
                <w:bCs/>
              </w:rPr>
              <w:t>Respecto de las partidas 10000dd y 20000dd del régimen informativo, ¿que datos específicos deben informarse en la partida 20000dd y en qué difieren de los solicitados en la partida 10000dd?</w:t>
            </w:r>
          </w:p>
        </w:tc>
      </w:tr>
      <w:tr w:rsidR="275543A2" w14:paraId="150B43F3" w14:textId="77777777" w:rsidTr="3157D90E">
        <w:trPr>
          <w:trHeight w:val="300"/>
        </w:trPr>
        <w:tc>
          <w:tcPr>
            <w:tcW w:w="4508" w:type="dxa"/>
          </w:tcPr>
          <w:p w14:paraId="2738C2A4" w14:textId="2313113A" w:rsidR="0E2097E3" w:rsidRDefault="0E2097E3">
            <w:r w:rsidRPr="275543A2">
              <w:rPr>
                <w:rFonts w:ascii="Aptos" w:eastAsia="Aptos" w:hAnsi="Aptos" w:cs="Aptos"/>
                <w:u w:val="single"/>
              </w:rPr>
              <w:t>Respuesta:</w:t>
            </w:r>
            <w:r w:rsidRPr="275543A2">
              <w:rPr>
                <w:rFonts w:ascii="Aptos" w:eastAsia="Aptos" w:hAnsi="Aptos" w:cs="Aptos"/>
              </w:rPr>
              <w:t xml:space="preserve"> En la partida 10000/dd se informaría el total de fondos acreditados en las cuentas de pago de los clientes, mientras que la partida 20000/dd se integraría con el saldo depositado en cuentas a la vista en entidades financieras correspondiente a dichos fondos, en cumplimiento de la normativa de fondo aplicable a PSP (punto 2.2.2.). Se aclara que en el caso que el PSP posea más de una cuenta bancaria donde se depositan los fondos de sus clientes, deberá informar en la partida 20000dd (“Saldo en cuentas a la vista por entidad financiera”) un registro con el saldo en cada entidad financiera integrando también el campo CBU, es decir, grabarán tantos registros como CBU posean.</w:t>
            </w:r>
          </w:p>
        </w:tc>
        <w:tc>
          <w:tcPr>
            <w:tcW w:w="4508" w:type="dxa"/>
          </w:tcPr>
          <w:p w14:paraId="7283BE51" w14:textId="2453C997" w:rsidR="4758B0A8" w:rsidRDefault="4758B0A8" w:rsidP="275543A2">
            <w:pPr>
              <w:rPr>
                <w:rFonts w:ascii="Aptos" w:eastAsia="Aptos" w:hAnsi="Aptos" w:cs="Aptos"/>
              </w:rPr>
            </w:pPr>
            <w:r w:rsidRPr="275543A2">
              <w:rPr>
                <w:rFonts w:ascii="Aptos" w:eastAsia="Aptos" w:hAnsi="Aptos" w:cs="Aptos"/>
                <w:u w:val="single"/>
              </w:rPr>
              <w:t xml:space="preserve">Respuesta: </w:t>
            </w:r>
            <w:r w:rsidR="343D92CD" w:rsidRPr="275543A2">
              <w:rPr>
                <w:rFonts w:ascii="Aptos" w:eastAsia="Aptos" w:hAnsi="Aptos" w:cs="Aptos"/>
              </w:rPr>
              <w:t xml:space="preserve">La partida </w:t>
            </w:r>
            <w:r w:rsidR="343D92CD" w:rsidRPr="275543A2">
              <w:rPr>
                <w:rFonts w:ascii="Aptos" w:eastAsia="Aptos" w:hAnsi="Aptos" w:cs="Aptos"/>
                <w:b/>
                <w:bCs/>
              </w:rPr>
              <w:t>20000/dd</w:t>
            </w:r>
            <w:r w:rsidR="343D92CD" w:rsidRPr="275543A2">
              <w:rPr>
                <w:rFonts w:ascii="Aptos" w:eastAsia="Aptos" w:hAnsi="Aptos" w:cs="Aptos"/>
              </w:rPr>
              <w:t xml:space="preserve"> debe contener el saldo depositado en </w:t>
            </w:r>
            <w:r w:rsidR="343D92CD" w:rsidRPr="275543A2">
              <w:rPr>
                <w:rFonts w:ascii="Aptos" w:eastAsia="Aptos" w:hAnsi="Aptos" w:cs="Aptos"/>
                <w:b/>
                <w:bCs/>
              </w:rPr>
              <w:t>cuentas a la vista en entidades financieras</w:t>
            </w:r>
            <w:r w:rsidR="343D92CD" w:rsidRPr="275543A2">
              <w:rPr>
                <w:rFonts w:ascii="Aptos" w:eastAsia="Aptos" w:hAnsi="Aptos" w:cs="Aptos"/>
              </w:rPr>
              <w:t xml:space="preserve">, correspondiente a los fondos acreditados en las cuentas de pago de los clientes, en cumplimiento de lo establecido en el </w:t>
            </w:r>
            <w:r w:rsidR="343D92CD" w:rsidRPr="275543A2">
              <w:rPr>
                <w:rFonts w:ascii="Aptos" w:eastAsia="Aptos" w:hAnsi="Aptos" w:cs="Aptos"/>
                <w:b/>
                <w:bCs/>
              </w:rPr>
              <w:t>punto 4.1.2</w:t>
            </w:r>
            <w:r w:rsidR="343D92CD" w:rsidRPr="275543A2">
              <w:rPr>
                <w:rFonts w:ascii="Aptos" w:eastAsia="Aptos" w:hAnsi="Aptos" w:cs="Aptos"/>
              </w:rPr>
              <w:t xml:space="preserve"> del </w:t>
            </w:r>
            <w:r w:rsidR="343D92CD" w:rsidRPr="275543A2">
              <w:rPr>
                <w:rFonts w:ascii="Aptos" w:eastAsia="Aptos" w:hAnsi="Aptos" w:cs="Aptos"/>
                <w:i/>
                <w:iCs/>
              </w:rPr>
              <w:t>Texto Ordenado “Proveedores de Servicios de Pago que ofrecen Cuentas de Pago”</w:t>
            </w:r>
            <w:r w:rsidR="343D92CD" w:rsidRPr="275543A2">
              <w:rPr>
                <w:rFonts w:ascii="Aptos" w:eastAsia="Aptos" w:hAnsi="Aptos" w:cs="Aptos"/>
              </w:rPr>
              <w:t>.</w:t>
            </w:r>
          </w:p>
          <w:p w14:paraId="53984E24" w14:textId="29583769" w:rsidR="275543A2" w:rsidRDefault="275543A2" w:rsidP="275543A2">
            <w:pPr>
              <w:rPr>
                <w:rFonts w:ascii="Aptos" w:eastAsia="Aptos" w:hAnsi="Aptos" w:cs="Aptos"/>
              </w:rPr>
            </w:pPr>
          </w:p>
          <w:p w14:paraId="52111F72" w14:textId="472D5EE4" w:rsidR="343D92CD" w:rsidRDefault="343D92CD" w:rsidP="275543A2">
            <w:pPr>
              <w:rPr>
                <w:rFonts w:ascii="Aptos" w:eastAsia="Aptos" w:hAnsi="Aptos" w:cs="Aptos"/>
              </w:rPr>
            </w:pPr>
            <w:r w:rsidRPr="275543A2">
              <w:rPr>
                <w:rFonts w:ascii="Aptos" w:eastAsia="Aptos" w:hAnsi="Aptos" w:cs="Aptos"/>
              </w:rPr>
              <w:t xml:space="preserve">A diferencia de la partida </w:t>
            </w:r>
            <w:r w:rsidRPr="275543A2">
              <w:rPr>
                <w:rFonts w:ascii="Aptos" w:eastAsia="Aptos" w:hAnsi="Aptos" w:cs="Aptos"/>
                <w:b/>
                <w:bCs/>
              </w:rPr>
              <w:t>10000/dd</w:t>
            </w:r>
            <w:r w:rsidRPr="275543A2">
              <w:rPr>
                <w:rFonts w:ascii="Aptos" w:eastAsia="Aptos" w:hAnsi="Aptos" w:cs="Aptos"/>
              </w:rPr>
              <w:t xml:space="preserve">, que informa el </w:t>
            </w:r>
            <w:r w:rsidRPr="275543A2">
              <w:rPr>
                <w:rFonts w:ascii="Aptos" w:eastAsia="Aptos" w:hAnsi="Aptos" w:cs="Aptos"/>
                <w:b/>
                <w:bCs/>
              </w:rPr>
              <w:t>total</w:t>
            </w:r>
            <w:r w:rsidRPr="275543A2">
              <w:rPr>
                <w:rFonts w:ascii="Aptos" w:eastAsia="Aptos" w:hAnsi="Aptos" w:cs="Aptos"/>
              </w:rPr>
              <w:t xml:space="preserve"> de fondos acreditados en las cuentas de pago de los clientes, la </w:t>
            </w:r>
            <w:r w:rsidRPr="275543A2">
              <w:rPr>
                <w:rFonts w:ascii="Aptos" w:eastAsia="Aptos" w:hAnsi="Aptos" w:cs="Aptos"/>
                <w:b/>
                <w:bCs/>
              </w:rPr>
              <w:t>20000/dd</w:t>
            </w:r>
            <w:r w:rsidRPr="275543A2">
              <w:rPr>
                <w:rFonts w:ascii="Aptos" w:eastAsia="Aptos" w:hAnsi="Aptos" w:cs="Aptos"/>
              </w:rPr>
              <w:t xml:space="preserve"> desglosa dichos fondos según la entidad financiera y la cuenta (CBU) donde se encuentren depositados.</w:t>
            </w:r>
          </w:p>
          <w:p w14:paraId="2751A121" w14:textId="3CFE8F4B" w:rsidR="275543A2" w:rsidRDefault="275543A2" w:rsidP="275543A2">
            <w:pPr>
              <w:rPr>
                <w:rFonts w:ascii="Aptos" w:eastAsia="Aptos" w:hAnsi="Aptos" w:cs="Aptos"/>
              </w:rPr>
            </w:pPr>
          </w:p>
          <w:p w14:paraId="64B43BB0" w14:textId="379F9C79" w:rsidR="275543A2" w:rsidRDefault="343D92CD" w:rsidP="409B4C76">
            <w:pPr>
              <w:rPr>
                <w:rFonts w:ascii="Aptos" w:eastAsia="Aptos" w:hAnsi="Aptos" w:cs="Aptos"/>
              </w:rPr>
            </w:pPr>
            <w:r w:rsidRPr="409B4C76">
              <w:rPr>
                <w:rFonts w:ascii="Aptos" w:eastAsia="Aptos" w:hAnsi="Aptos" w:cs="Aptos"/>
              </w:rPr>
              <w:t xml:space="preserve">En caso de que el PSP utilice más de una cuenta bancaria para la acreditación de fondos de clientes, en la </w:t>
            </w:r>
            <w:r w:rsidRPr="409B4C76">
              <w:rPr>
                <w:rFonts w:ascii="Aptos" w:eastAsia="Aptos" w:hAnsi="Aptos" w:cs="Aptos"/>
                <w:b/>
                <w:bCs/>
              </w:rPr>
              <w:t>20000/dd</w:t>
            </w:r>
            <w:r w:rsidRPr="409B4C76">
              <w:rPr>
                <w:rFonts w:ascii="Aptos" w:eastAsia="Aptos" w:hAnsi="Aptos" w:cs="Aptos"/>
              </w:rPr>
              <w:t xml:space="preserve"> (“Saldo en cuentas a la vista por entidad financiera”) deberá registrar un asiento por cada cuenta, indicando el saldo correspondiente e identificando </w:t>
            </w:r>
            <w:r w:rsidRPr="409B4C76">
              <w:rPr>
                <w:rFonts w:ascii="Aptos" w:eastAsia="Aptos" w:hAnsi="Aptos" w:cs="Aptos"/>
                <w:b/>
                <w:bCs/>
              </w:rPr>
              <w:t>CBU</w:t>
            </w:r>
            <w:r w:rsidRPr="409B4C76">
              <w:rPr>
                <w:rFonts w:ascii="Aptos" w:eastAsia="Aptos" w:hAnsi="Aptos" w:cs="Aptos"/>
              </w:rPr>
              <w:t xml:space="preserve"> y </w:t>
            </w:r>
            <w:r w:rsidRPr="409B4C76">
              <w:rPr>
                <w:rFonts w:ascii="Aptos" w:eastAsia="Aptos" w:hAnsi="Aptos" w:cs="Aptos"/>
                <w:b/>
                <w:bCs/>
              </w:rPr>
              <w:t>entidad financiera</w:t>
            </w:r>
            <w:r w:rsidRPr="409B4C76">
              <w:rPr>
                <w:rFonts w:ascii="Aptos" w:eastAsia="Aptos" w:hAnsi="Aptos" w:cs="Aptos"/>
              </w:rPr>
              <w:t>.</w:t>
            </w:r>
          </w:p>
        </w:tc>
      </w:tr>
      <w:tr w:rsidR="409B4C76" w14:paraId="6E180450" w14:textId="77777777" w:rsidTr="3157D90E">
        <w:trPr>
          <w:trHeight w:val="300"/>
        </w:trPr>
        <w:tc>
          <w:tcPr>
            <w:tcW w:w="4508" w:type="dxa"/>
          </w:tcPr>
          <w:p w14:paraId="3862652F" w14:textId="10E5838E" w:rsidR="409B4C76" w:rsidRDefault="409B4C76" w:rsidP="409B4C76">
            <w:pPr>
              <w:rPr>
                <w:rFonts w:ascii="Aptos" w:eastAsia="Aptos" w:hAnsi="Aptos" w:cs="Aptos"/>
                <w:u w:val="single"/>
              </w:rPr>
            </w:pPr>
          </w:p>
        </w:tc>
        <w:tc>
          <w:tcPr>
            <w:tcW w:w="4508" w:type="dxa"/>
          </w:tcPr>
          <w:p w14:paraId="4F93AD69" w14:textId="4846A0A8" w:rsidR="6D2133DE" w:rsidRDefault="6D2133DE" w:rsidP="409B4C76">
            <w:pPr>
              <w:rPr>
                <w:rFonts w:ascii="Aptos" w:eastAsia="Aptos" w:hAnsi="Aptos" w:cs="Aptos"/>
                <w:highlight w:val="green"/>
              </w:rPr>
            </w:pPr>
            <w:commentRangeStart w:id="6"/>
            <w:r w:rsidRPr="409B4C76">
              <w:rPr>
                <w:rFonts w:ascii="Aptos" w:eastAsia="Aptos" w:hAnsi="Aptos" w:cs="Aptos"/>
                <w:highlight w:val="green"/>
              </w:rPr>
              <w:t xml:space="preserve">En la partida </w:t>
            </w:r>
            <w:r w:rsidRPr="409B4C76">
              <w:rPr>
                <w:rFonts w:ascii="Aptos" w:eastAsia="Aptos" w:hAnsi="Aptos" w:cs="Aptos"/>
                <w:b/>
                <w:bCs/>
                <w:highlight w:val="green"/>
              </w:rPr>
              <w:t>“Saldos a liquidar en cuentas de pago”</w:t>
            </w:r>
            <w:r w:rsidRPr="409B4C76">
              <w:rPr>
                <w:rFonts w:ascii="Aptos" w:eastAsia="Aptos" w:hAnsi="Aptos" w:cs="Aptos"/>
                <w:highlight w:val="green"/>
              </w:rPr>
              <w:t>, ¿corresponde incluir los saldos pendientes de acreditación de transferencias que se encuentran en proceso, aunque su estado no sea definitivo?</w:t>
            </w:r>
            <w:commentRangeEnd w:id="6"/>
            <w:r>
              <w:rPr>
                <w:rStyle w:val="Refdecomentario"/>
                <w:rFonts w:ascii="Aptos" w:eastAsia="Aptos" w:hAnsi="Aptos" w:cs="Aptos"/>
                <w:sz w:val="24"/>
                <w:szCs w:val="24"/>
                <w:highlight w:val="green"/>
              </w:rPr>
              <w:commentReference w:id="6"/>
            </w:r>
          </w:p>
        </w:tc>
      </w:tr>
      <w:tr w:rsidR="409B4C76" w14:paraId="3532A7FA" w14:textId="77777777" w:rsidTr="3157D90E">
        <w:trPr>
          <w:trHeight w:val="300"/>
        </w:trPr>
        <w:tc>
          <w:tcPr>
            <w:tcW w:w="4508" w:type="dxa"/>
          </w:tcPr>
          <w:p w14:paraId="3CF5DD7C" w14:textId="2647695F" w:rsidR="409B4C76" w:rsidRDefault="409B4C76" w:rsidP="409B4C76">
            <w:pPr>
              <w:rPr>
                <w:rFonts w:ascii="Aptos" w:eastAsia="Aptos" w:hAnsi="Aptos" w:cs="Aptos"/>
                <w:u w:val="single"/>
              </w:rPr>
            </w:pPr>
          </w:p>
        </w:tc>
        <w:tc>
          <w:tcPr>
            <w:tcW w:w="4508" w:type="dxa"/>
          </w:tcPr>
          <w:p w14:paraId="513C1DBE" w14:textId="7CF09F7A" w:rsidR="44AC597C" w:rsidRDefault="44AC597C" w:rsidP="409B4C76">
            <w:pPr>
              <w:rPr>
                <w:rFonts w:ascii="Aptos" w:eastAsia="Aptos" w:hAnsi="Aptos" w:cs="Aptos"/>
              </w:rPr>
            </w:pPr>
            <w:commentRangeStart w:id="7"/>
            <w:r w:rsidRPr="409B4C76">
              <w:rPr>
                <w:rFonts w:ascii="Aptos" w:eastAsia="Aptos" w:hAnsi="Aptos" w:cs="Aptos"/>
              </w:rPr>
              <w:t>Sí, corresponde incluir en “Saldos a liquidar” las transferencias pendientes de acreditación.</w:t>
            </w:r>
            <w:commentRangeEnd w:id="7"/>
            <w:r>
              <w:rPr>
                <w:rStyle w:val="Refdecomentario"/>
                <w:rFonts w:ascii="Aptos" w:eastAsia="Aptos" w:hAnsi="Aptos" w:cs="Aptos"/>
                <w:sz w:val="24"/>
                <w:szCs w:val="24"/>
              </w:rPr>
              <w:commentReference w:id="7"/>
            </w:r>
          </w:p>
        </w:tc>
      </w:tr>
      <w:tr w:rsidR="409B4C76" w14:paraId="18EFB265" w14:textId="77777777" w:rsidTr="3157D90E">
        <w:trPr>
          <w:trHeight w:val="300"/>
        </w:trPr>
        <w:tc>
          <w:tcPr>
            <w:tcW w:w="4508" w:type="dxa"/>
          </w:tcPr>
          <w:p w14:paraId="212D7969" w14:textId="06F6EE7F" w:rsidR="409B4C76" w:rsidRDefault="409B4C76" w:rsidP="409B4C76">
            <w:pPr>
              <w:rPr>
                <w:rFonts w:ascii="Aptos" w:eastAsia="Aptos" w:hAnsi="Aptos" w:cs="Aptos"/>
                <w:u w:val="single"/>
              </w:rPr>
            </w:pPr>
          </w:p>
        </w:tc>
        <w:tc>
          <w:tcPr>
            <w:tcW w:w="4508" w:type="dxa"/>
          </w:tcPr>
          <w:p w14:paraId="3CF549AC" w14:textId="0DFF63AC" w:rsidR="759A700A" w:rsidRDefault="759A700A" w:rsidP="409B4C76">
            <w:pPr>
              <w:rPr>
                <w:rFonts w:ascii="Aptos" w:eastAsia="Aptos" w:hAnsi="Aptos" w:cs="Aptos"/>
                <w:highlight w:val="green"/>
              </w:rPr>
            </w:pPr>
            <w:commentRangeStart w:id="8"/>
            <w:r w:rsidRPr="409B4C76">
              <w:rPr>
                <w:rFonts w:ascii="Aptos" w:eastAsia="Aptos" w:hAnsi="Aptos" w:cs="Aptos"/>
                <w:highlight w:val="green"/>
              </w:rPr>
              <w:t xml:space="preserve">En </w:t>
            </w:r>
            <w:r w:rsidRPr="409B4C76">
              <w:rPr>
                <w:rFonts w:ascii="Aptos" w:eastAsia="Aptos" w:hAnsi="Aptos" w:cs="Aptos"/>
                <w:b/>
                <w:bCs/>
                <w:highlight w:val="green"/>
              </w:rPr>
              <w:t>“Saldos invertidos”</w:t>
            </w:r>
            <w:r w:rsidRPr="409B4C76">
              <w:rPr>
                <w:rFonts w:ascii="Aptos" w:eastAsia="Aptos" w:hAnsi="Aptos" w:cs="Aptos"/>
                <w:highlight w:val="green"/>
              </w:rPr>
              <w:t xml:space="preserve">, ¿debe informarse el saldo consolidado o el total? En el caso de productos que permiten rescates inmediatos (por </w:t>
            </w:r>
            <w:r w:rsidRPr="409B4C76">
              <w:rPr>
                <w:rFonts w:ascii="Aptos" w:eastAsia="Aptos" w:hAnsi="Aptos" w:cs="Aptos"/>
                <w:highlight w:val="green"/>
              </w:rPr>
              <w:lastRenderedPageBreak/>
              <w:t>ejemplo, cuando el usuario suscribe y puede retirar los fondos antes de que se liquide la operación), ¿estos montos también deben incluirse?</w:t>
            </w:r>
            <w:commentRangeEnd w:id="8"/>
            <w:r>
              <w:rPr>
                <w:rStyle w:val="Refdecomentario"/>
                <w:rFonts w:ascii="Aptos" w:eastAsia="Aptos" w:hAnsi="Aptos" w:cs="Aptos"/>
                <w:sz w:val="24"/>
                <w:szCs w:val="24"/>
                <w:highlight w:val="green"/>
              </w:rPr>
              <w:commentReference w:id="8"/>
            </w:r>
          </w:p>
        </w:tc>
      </w:tr>
      <w:tr w:rsidR="409B4C76" w14:paraId="20A1ABC3" w14:textId="77777777" w:rsidTr="3157D90E">
        <w:trPr>
          <w:trHeight w:val="300"/>
        </w:trPr>
        <w:tc>
          <w:tcPr>
            <w:tcW w:w="4508" w:type="dxa"/>
          </w:tcPr>
          <w:p w14:paraId="6247E06C" w14:textId="40C33D04" w:rsidR="409B4C76" w:rsidRDefault="409B4C76" w:rsidP="409B4C76">
            <w:pPr>
              <w:rPr>
                <w:rFonts w:ascii="Aptos" w:eastAsia="Aptos" w:hAnsi="Aptos" w:cs="Aptos"/>
                <w:u w:val="single"/>
              </w:rPr>
            </w:pPr>
          </w:p>
        </w:tc>
        <w:tc>
          <w:tcPr>
            <w:tcW w:w="4508" w:type="dxa"/>
          </w:tcPr>
          <w:p w14:paraId="2C63F5BB" w14:textId="53F93B75" w:rsidR="759A700A" w:rsidRDefault="759A700A" w:rsidP="409B4C76">
            <w:pPr>
              <w:rPr>
                <w:rFonts w:ascii="Aptos" w:eastAsia="Aptos" w:hAnsi="Aptos" w:cs="Aptos"/>
              </w:rPr>
            </w:pPr>
            <w:commentRangeStart w:id="9"/>
            <w:r w:rsidRPr="409B4C76">
              <w:rPr>
                <w:rFonts w:ascii="Aptos" w:eastAsia="Aptos" w:hAnsi="Aptos" w:cs="Aptos"/>
              </w:rPr>
              <w:t>En “Saldos invertidos” se deben informar todos los fondos que no estén en la cuenta de pago del cliente debido a una decisión de inversión, sin importar que puedan retirarse de forma inmediata.</w:t>
            </w:r>
            <w:commentRangeEnd w:id="9"/>
            <w:r>
              <w:rPr>
                <w:rStyle w:val="Refdecomentario"/>
                <w:rFonts w:ascii="Aptos" w:eastAsia="Aptos" w:hAnsi="Aptos" w:cs="Aptos"/>
                <w:sz w:val="24"/>
                <w:szCs w:val="24"/>
              </w:rPr>
              <w:commentReference w:id="9"/>
            </w:r>
          </w:p>
        </w:tc>
      </w:tr>
      <w:tr w:rsidR="409B4C76" w14:paraId="21D1DDDB" w14:textId="77777777" w:rsidTr="3157D90E">
        <w:trPr>
          <w:trHeight w:val="300"/>
        </w:trPr>
        <w:tc>
          <w:tcPr>
            <w:tcW w:w="4508" w:type="dxa"/>
          </w:tcPr>
          <w:p w14:paraId="39305B78" w14:textId="465DA5BD" w:rsidR="409B4C76" w:rsidRDefault="409B4C76" w:rsidP="409B4C76">
            <w:pPr>
              <w:rPr>
                <w:rFonts w:ascii="Aptos" w:eastAsia="Aptos" w:hAnsi="Aptos" w:cs="Aptos"/>
                <w:u w:val="single"/>
              </w:rPr>
            </w:pPr>
          </w:p>
        </w:tc>
        <w:tc>
          <w:tcPr>
            <w:tcW w:w="4508" w:type="dxa"/>
          </w:tcPr>
          <w:p w14:paraId="438B2F63" w14:textId="11B87381" w:rsidR="2EF26452" w:rsidRDefault="2EF26452" w:rsidP="409B4C76">
            <w:pPr>
              <w:rPr>
                <w:rFonts w:ascii="Aptos" w:eastAsia="Aptos" w:hAnsi="Aptos" w:cs="Aptos"/>
                <w:highlight w:val="green"/>
              </w:rPr>
            </w:pPr>
            <w:commentRangeStart w:id="10"/>
            <w:r w:rsidRPr="409B4C76">
              <w:rPr>
                <w:rFonts w:ascii="Aptos" w:eastAsia="Aptos" w:hAnsi="Aptos" w:cs="Aptos"/>
                <w:highlight w:val="green"/>
              </w:rPr>
              <w:t>En el marco del Régimen Informativo – Apartado A (Archivo “CUENTAS CLIENTES”), ¿cómo debe informarse cuando un cliente posee un saldo total en su cuenta de pago y, además, parte de ese saldo se encuentra invertido en un fondo común de dinero?</w:t>
            </w:r>
            <w:r>
              <w:br/>
            </w:r>
            <w:r w:rsidRPr="409B4C76">
              <w:rPr>
                <w:rFonts w:ascii="Aptos" w:eastAsia="Aptos" w:hAnsi="Aptos" w:cs="Aptos"/>
                <w:highlight w:val="green"/>
              </w:rPr>
              <w:t xml:space="preserve"> Ejemplo: un cliente tiene $100 en total, de los cuales $50 permanecen en la cuenta y $50 están invertidos. ¿Cómo se registran los importes en los códigos de partida 10000dd, 20000dd, 30000dd y 40000dd?</w:t>
            </w:r>
            <w:commentRangeEnd w:id="10"/>
            <w:r>
              <w:rPr>
                <w:rStyle w:val="Refdecomentario"/>
                <w:rFonts w:ascii="Aptos" w:eastAsia="Aptos" w:hAnsi="Aptos" w:cs="Aptos"/>
                <w:sz w:val="24"/>
                <w:szCs w:val="24"/>
                <w:highlight w:val="green"/>
              </w:rPr>
              <w:commentReference w:id="10"/>
            </w:r>
          </w:p>
        </w:tc>
      </w:tr>
      <w:tr w:rsidR="409B4C76" w14:paraId="2684C0CE" w14:textId="77777777" w:rsidTr="3157D90E">
        <w:trPr>
          <w:trHeight w:val="300"/>
        </w:trPr>
        <w:tc>
          <w:tcPr>
            <w:tcW w:w="4508" w:type="dxa"/>
          </w:tcPr>
          <w:p w14:paraId="2AB3480B" w14:textId="501ECAB8" w:rsidR="409B4C76" w:rsidRDefault="409B4C76" w:rsidP="409B4C76">
            <w:pPr>
              <w:rPr>
                <w:rFonts w:ascii="Aptos" w:eastAsia="Aptos" w:hAnsi="Aptos" w:cs="Aptos"/>
                <w:u w:val="single"/>
              </w:rPr>
            </w:pPr>
          </w:p>
        </w:tc>
        <w:tc>
          <w:tcPr>
            <w:tcW w:w="4508" w:type="dxa"/>
          </w:tcPr>
          <w:p w14:paraId="72491A5E" w14:textId="4CB1C65A" w:rsidR="2EF26452" w:rsidRDefault="2EF26452" w:rsidP="409B4C76">
            <w:pPr>
              <w:rPr>
                <w:rFonts w:ascii="Aptos" w:eastAsia="Aptos" w:hAnsi="Aptos" w:cs="Aptos"/>
              </w:rPr>
            </w:pPr>
            <w:commentRangeStart w:id="11"/>
            <w:r w:rsidRPr="409B4C76">
              <w:rPr>
                <w:rFonts w:ascii="Aptos" w:eastAsia="Aptos" w:hAnsi="Aptos" w:cs="Aptos"/>
              </w:rPr>
              <w:t xml:space="preserve">En estos casos, el saldo informado en la </w:t>
            </w:r>
            <w:r w:rsidRPr="409B4C76">
              <w:rPr>
                <w:rFonts w:ascii="Aptos" w:eastAsia="Aptos" w:hAnsi="Aptos" w:cs="Aptos"/>
                <w:b/>
                <w:bCs/>
              </w:rPr>
              <w:t>partida 10000dd</w:t>
            </w:r>
            <w:r w:rsidRPr="409B4C76">
              <w:rPr>
                <w:rFonts w:ascii="Aptos" w:eastAsia="Aptos" w:hAnsi="Aptos" w:cs="Aptos"/>
              </w:rPr>
              <w:t xml:space="preserve"> debe corresponder únicamente al saldo disponible en la cuenta de pago, excluyendo el monto invertido en el fondo común de dinero. Por lo tanto, si de los $100 totales el cliente mantiene $50 en la cuenta y $50 invertidos:</w:t>
            </w:r>
          </w:p>
          <w:p w14:paraId="06881ABB" w14:textId="3258233D" w:rsidR="2EF26452" w:rsidRDefault="2EF26452" w:rsidP="409B4C76">
            <w:pPr>
              <w:numPr>
                <w:ilvl w:val="0"/>
                <w:numId w:val="7"/>
              </w:numPr>
              <w:rPr>
                <w:rFonts w:ascii="Aptos" w:eastAsia="Aptos" w:hAnsi="Aptos" w:cs="Aptos"/>
              </w:rPr>
            </w:pPr>
            <w:r w:rsidRPr="409B4C76">
              <w:rPr>
                <w:rFonts w:ascii="Aptos" w:eastAsia="Aptos" w:hAnsi="Aptos" w:cs="Aptos"/>
                <w:b/>
                <w:bCs/>
              </w:rPr>
              <w:t>10000dd</w:t>
            </w:r>
            <w:r w:rsidRPr="409B4C76">
              <w:rPr>
                <w:rFonts w:ascii="Aptos" w:eastAsia="Aptos" w:hAnsi="Aptos" w:cs="Aptos"/>
              </w:rPr>
              <w:t>: $50 (saldo disponible en la cuenta de pago)</w:t>
            </w:r>
          </w:p>
          <w:p w14:paraId="33F2EEF0" w14:textId="74EABC85" w:rsidR="2EF26452" w:rsidRDefault="2EF26452" w:rsidP="409B4C76">
            <w:pPr>
              <w:numPr>
                <w:ilvl w:val="0"/>
                <w:numId w:val="7"/>
              </w:numPr>
              <w:rPr>
                <w:rFonts w:ascii="Aptos" w:eastAsia="Aptos" w:hAnsi="Aptos" w:cs="Aptos"/>
              </w:rPr>
            </w:pPr>
            <w:r w:rsidRPr="409B4C76">
              <w:rPr>
                <w:rFonts w:ascii="Aptos" w:eastAsia="Aptos" w:hAnsi="Aptos" w:cs="Aptos"/>
                <w:b/>
                <w:bCs/>
              </w:rPr>
              <w:t>20000dd</w:t>
            </w:r>
            <w:r w:rsidRPr="409B4C76">
              <w:rPr>
                <w:rFonts w:ascii="Aptos" w:eastAsia="Aptos" w:hAnsi="Aptos" w:cs="Aptos"/>
              </w:rPr>
              <w:t>: $50 (saldo en cuentas a la vista)</w:t>
            </w:r>
          </w:p>
          <w:p w14:paraId="332659C8" w14:textId="6269CB74" w:rsidR="2EF26452" w:rsidRDefault="2EF26452" w:rsidP="409B4C76">
            <w:pPr>
              <w:numPr>
                <w:ilvl w:val="0"/>
                <w:numId w:val="7"/>
              </w:numPr>
              <w:rPr>
                <w:rFonts w:ascii="Aptos" w:eastAsia="Aptos" w:hAnsi="Aptos" w:cs="Aptos"/>
              </w:rPr>
            </w:pPr>
            <w:r w:rsidRPr="409B4C76">
              <w:rPr>
                <w:rFonts w:ascii="Aptos" w:eastAsia="Aptos" w:hAnsi="Aptos" w:cs="Aptos"/>
                <w:b/>
                <w:bCs/>
              </w:rPr>
              <w:t>30000dd</w:t>
            </w:r>
            <w:r w:rsidRPr="409B4C76">
              <w:rPr>
                <w:rFonts w:ascii="Aptos" w:eastAsia="Aptos" w:hAnsi="Aptos" w:cs="Aptos"/>
              </w:rPr>
              <w:t>: $50 (saldo invertido en fondos comunes de dinero)</w:t>
            </w:r>
          </w:p>
          <w:p w14:paraId="2F22D72B" w14:textId="311FCF62" w:rsidR="2EF26452" w:rsidRDefault="2EF26452" w:rsidP="409B4C76">
            <w:pPr>
              <w:numPr>
                <w:ilvl w:val="0"/>
                <w:numId w:val="7"/>
              </w:numPr>
              <w:rPr>
                <w:rFonts w:ascii="Aptos" w:eastAsia="Aptos" w:hAnsi="Aptos" w:cs="Aptos"/>
              </w:rPr>
            </w:pPr>
            <w:r w:rsidRPr="409B4C76">
              <w:rPr>
                <w:rFonts w:ascii="Aptos" w:eastAsia="Aptos" w:hAnsi="Aptos" w:cs="Aptos"/>
                <w:b/>
                <w:bCs/>
              </w:rPr>
              <w:t>40000dd</w:t>
            </w:r>
            <w:r w:rsidRPr="409B4C76">
              <w:rPr>
                <w:rFonts w:ascii="Aptos" w:eastAsia="Aptos" w:hAnsi="Aptos" w:cs="Aptos"/>
              </w:rPr>
              <w:t>: $50 (saldo invertido por fondo común de dinero)</w:t>
            </w:r>
          </w:p>
          <w:p w14:paraId="1C51F5B1" w14:textId="3A99246B" w:rsidR="2EF26452" w:rsidRDefault="2EF26452" w:rsidP="7B6BB41B">
            <w:pPr>
              <w:rPr>
                <w:rFonts w:ascii="Aptos" w:eastAsia="Aptos" w:hAnsi="Aptos" w:cs="Aptos"/>
              </w:rPr>
            </w:pPr>
            <w:r w:rsidRPr="7B6BB41B">
              <w:rPr>
                <w:rFonts w:ascii="Aptos" w:eastAsia="Aptos" w:hAnsi="Aptos" w:cs="Aptos"/>
              </w:rPr>
              <w:t>Este criterio asegura que el importe invertido se registre exclusivamente en las partidas específicas de inversión (30000dd y 40000dd) y no se duplique dentro del saldo disponible informado en la partida 10000dd.</w:t>
            </w:r>
            <w:commentRangeEnd w:id="11"/>
            <w:r>
              <w:rPr>
                <w:rStyle w:val="Refdecomentario"/>
                <w:rFonts w:ascii="Aptos" w:eastAsia="Aptos" w:hAnsi="Aptos" w:cs="Aptos"/>
                <w:sz w:val="24"/>
                <w:szCs w:val="24"/>
              </w:rPr>
              <w:commentReference w:id="11"/>
            </w:r>
          </w:p>
          <w:p w14:paraId="0F613C0D" w14:textId="0EA9CFEC" w:rsidR="2EF26452" w:rsidRDefault="2EF26452" w:rsidP="7B6BB41B">
            <w:pPr>
              <w:rPr>
                <w:rFonts w:ascii="Aptos" w:eastAsia="Aptos" w:hAnsi="Aptos" w:cs="Aptos"/>
              </w:rPr>
            </w:pPr>
          </w:p>
          <w:p w14:paraId="09441EA4" w14:textId="74712BFE" w:rsidR="2EF26452" w:rsidRDefault="2EF26452" w:rsidP="409B4C76">
            <w:pPr>
              <w:rPr>
                <w:rFonts w:ascii="Aptos" w:eastAsia="Aptos" w:hAnsi="Aptos" w:cs="Aptos"/>
              </w:rPr>
            </w:pPr>
          </w:p>
        </w:tc>
      </w:tr>
      <w:tr w:rsidR="7B6BB41B" w14:paraId="05BC5ED2" w14:textId="77777777" w:rsidTr="3157D90E">
        <w:trPr>
          <w:trHeight w:val="300"/>
        </w:trPr>
        <w:tc>
          <w:tcPr>
            <w:tcW w:w="4508" w:type="dxa"/>
          </w:tcPr>
          <w:p w14:paraId="0B320E18" w14:textId="090C5E0F" w:rsidR="7B6BB41B" w:rsidRDefault="7B6BB41B" w:rsidP="7B6BB41B">
            <w:pPr>
              <w:rPr>
                <w:rFonts w:ascii="Aptos" w:eastAsia="Aptos" w:hAnsi="Aptos" w:cs="Aptos"/>
                <w:u w:val="single"/>
              </w:rPr>
            </w:pPr>
          </w:p>
        </w:tc>
        <w:tc>
          <w:tcPr>
            <w:tcW w:w="4508" w:type="dxa"/>
          </w:tcPr>
          <w:p w14:paraId="327FEC6B" w14:textId="42E2F388" w:rsidR="64A1DCC7" w:rsidRDefault="64A1DCC7" w:rsidP="7B6BB41B">
            <w:pPr>
              <w:rPr>
                <w:rFonts w:ascii="Aptos" w:eastAsia="Aptos" w:hAnsi="Aptos" w:cs="Aptos"/>
                <w:highlight w:val="green"/>
              </w:rPr>
            </w:pPr>
            <w:commentRangeStart w:id="12"/>
            <w:r w:rsidRPr="07215D11">
              <w:rPr>
                <w:rFonts w:ascii="Aptos" w:eastAsia="Aptos" w:hAnsi="Aptos" w:cs="Aptos"/>
                <w:highlight w:val="green"/>
              </w:rPr>
              <w:t>En la Partida 100000 “Sumatoria de saldos de cuentas de pago de clientes” → ¿Se incluyen los saldos que el cliente tenga en Fondos Comunes de Inversión (FCI)?</w:t>
            </w:r>
            <w:commentRangeEnd w:id="12"/>
            <w:r>
              <w:rPr>
                <w:rStyle w:val="Refdecomentario"/>
                <w:rFonts w:ascii="Aptos" w:eastAsia="Aptos" w:hAnsi="Aptos" w:cs="Aptos"/>
                <w:sz w:val="24"/>
                <w:szCs w:val="24"/>
                <w:highlight w:val="green"/>
              </w:rPr>
              <w:commentReference w:id="12"/>
            </w:r>
          </w:p>
        </w:tc>
      </w:tr>
      <w:tr w:rsidR="7B6BB41B" w14:paraId="43FD197F" w14:textId="77777777" w:rsidTr="3157D90E">
        <w:trPr>
          <w:trHeight w:val="300"/>
        </w:trPr>
        <w:tc>
          <w:tcPr>
            <w:tcW w:w="4508" w:type="dxa"/>
          </w:tcPr>
          <w:p w14:paraId="6647CAB2" w14:textId="6187EF88" w:rsidR="7B6BB41B" w:rsidRDefault="7B6BB41B" w:rsidP="7B6BB41B">
            <w:pPr>
              <w:rPr>
                <w:rFonts w:ascii="Aptos" w:eastAsia="Aptos" w:hAnsi="Aptos" w:cs="Aptos"/>
                <w:u w:val="single"/>
              </w:rPr>
            </w:pPr>
          </w:p>
        </w:tc>
        <w:tc>
          <w:tcPr>
            <w:tcW w:w="4508" w:type="dxa"/>
          </w:tcPr>
          <w:p w14:paraId="27B78250" w14:textId="6F17FFC0" w:rsidR="64A1DCC7" w:rsidRDefault="64A1DCC7" w:rsidP="7B6BB41B">
            <w:pPr>
              <w:spacing w:before="240" w:after="240"/>
              <w:jc w:val="both"/>
              <w:rPr>
                <w:rFonts w:ascii="Aptos" w:eastAsia="Aptos" w:hAnsi="Aptos" w:cs="Aptos"/>
              </w:rPr>
            </w:pPr>
            <w:commentRangeStart w:id="13"/>
            <w:r w:rsidRPr="559206F3">
              <w:rPr>
                <w:rFonts w:ascii="Aptos" w:eastAsia="Aptos" w:hAnsi="Aptos" w:cs="Aptos"/>
              </w:rPr>
              <w:t xml:space="preserve">No. En la Partida 100000 (“Sumatoria de saldos de cuentas de pago de clientes”) </w:t>
            </w:r>
            <w:r w:rsidR="71DA5AC4" w:rsidRPr="559206F3">
              <w:rPr>
                <w:rFonts w:ascii="Aptos" w:eastAsia="Aptos" w:hAnsi="Aptos" w:cs="Aptos"/>
              </w:rPr>
              <w:t>solo</w:t>
            </w:r>
            <w:r w:rsidRPr="559206F3">
              <w:rPr>
                <w:rFonts w:ascii="Aptos" w:eastAsia="Aptos" w:hAnsi="Aptos" w:cs="Aptos"/>
              </w:rPr>
              <w:t xml:space="preserve"> deben informarse los </w:t>
            </w:r>
            <w:r w:rsidRPr="559206F3">
              <w:rPr>
                <w:rFonts w:ascii="Aptos" w:eastAsia="Aptos" w:hAnsi="Aptos" w:cs="Aptos"/>
                <w:b/>
                <w:bCs/>
              </w:rPr>
              <w:t>fondos disponibles en las cuentas de pago de los clientes</w:t>
            </w:r>
            <w:r w:rsidR="374ECF37" w:rsidRPr="559206F3">
              <w:rPr>
                <w:rFonts w:ascii="Aptos" w:eastAsia="Aptos" w:hAnsi="Aptos" w:cs="Aptos"/>
                <w:b/>
                <w:bCs/>
              </w:rPr>
              <w:t xml:space="preserve"> </w:t>
            </w:r>
            <w:r w:rsidR="374ECF37" w:rsidRPr="559206F3">
              <w:rPr>
                <w:rFonts w:ascii="Aptos" w:eastAsia="Aptos" w:hAnsi="Aptos" w:cs="Aptos"/>
              </w:rPr>
              <w:t>según lo establece el T.O. de  “Proveedores de Servicios de Pago que ofrecen cuentas de pago” (TO RI PSPCP)</w:t>
            </w:r>
            <w:r w:rsidR="2DDB3939" w:rsidRPr="559206F3">
              <w:rPr>
                <w:rFonts w:ascii="Aptos" w:eastAsia="Aptos" w:hAnsi="Aptos" w:cs="Aptos"/>
              </w:rPr>
              <w:t xml:space="preserve">. </w:t>
            </w:r>
            <w:commentRangeEnd w:id="13"/>
            <w:r>
              <w:rPr>
                <w:rStyle w:val="Refdecomentario"/>
                <w:rFonts w:ascii="Aptos" w:eastAsia="Aptos" w:hAnsi="Aptos" w:cs="Aptos"/>
                <w:sz w:val="24"/>
                <w:szCs w:val="24"/>
              </w:rPr>
              <w:commentReference w:id="13"/>
            </w:r>
          </w:p>
        </w:tc>
      </w:tr>
      <w:tr w:rsidR="7B6BB41B" w14:paraId="090B5FED" w14:textId="77777777" w:rsidTr="3157D90E">
        <w:trPr>
          <w:trHeight w:val="300"/>
        </w:trPr>
        <w:tc>
          <w:tcPr>
            <w:tcW w:w="4508" w:type="dxa"/>
          </w:tcPr>
          <w:p w14:paraId="1D336DB1" w14:textId="0A168B3D" w:rsidR="7B6BB41B" w:rsidRDefault="7B6BB41B" w:rsidP="7B6BB41B">
            <w:pPr>
              <w:rPr>
                <w:rFonts w:ascii="Aptos" w:eastAsia="Aptos" w:hAnsi="Aptos" w:cs="Aptos"/>
                <w:u w:val="single"/>
              </w:rPr>
            </w:pPr>
          </w:p>
        </w:tc>
        <w:tc>
          <w:tcPr>
            <w:tcW w:w="4508" w:type="dxa"/>
          </w:tcPr>
          <w:p w14:paraId="0FBCEB26" w14:textId="77130037" w:rsidR="71B9C9D1" w:rsidRDefault="71B9C9D1" w:rsidP="7B6BB41B">
            <w:pPr>
              <w:jc w:val="both"/>
              <w:rPr>
                <w:rFonts w:ascii="Aptos" w:eastAsia="Aptos" w:hAnsi="Aptos" w:cs="Aptos"/>
                <w:highlight w:val="green"/>
              </w:rPr>
            </w:pPr>
            <w:commentRangeStart w:id="14"/>
            <w:r w:rsidRPr="07215D11">
              <w:rPr>
                <w:rFonts w:ascii="Aptos" w:eastAsia="Aptos" w:hAnsi="Aptos" w:cs="Aptos"/>
                <w:highlight w:val="green"/>
              </w:rPr>
              <w:t>En la Partida 600000 “Sumatoria de saldos a liquidar en cuentas de pago” → ¿Este concepto incluye los saldos que el cliente tenga en un FCI, a la espera de su rescate?</w:t>
            </w:r>
            <w:commentRangeEnd w:id="14"/>
            <w:r>
              <w:rPr>
                <w:rStyle w:val="Refdecomentario"/>
                <w:rFonts w:ascii="Aptos" w:eastAsia="Aptos" w:hAnsi="Aptos" w:cs="Aptos"/>
                <w:sz w:val="24"/>
                <w:szCs w:val="24"/>
                <w:highlight w:val="green"/>
              </w:rPr>
              <w:commentReference w:id="14"/>
            </w:r>
          </w:p>
        </w:tc>
      </w:tr>
      <w:tr w:rsidR="7B6BB41B" w14:paraId="20B006D5" w14:textId="77777777" w:rsidTr="3157D90E">
        <w:trPr>
          <w:trHeight w:val="300"/>
        </w:trPr>
        <w:tc>
          <w:tcPr>
            <w:tcW w:w="4508" w:type="dxa"/>
          </w:tcPr>
          <w:p w14:paraId="0D9CFDB8" w14:textId="61704C98" w:rsidR="7B6BB41B" w:rsidRDefault="7B6BB41B" w:rsidP="7B6BB41B">
            <w:pPr>
              <w:rPr>
                <w:rFonts w:ascii="Aptos" w:eastAsia="Aptos" w:hAnsi="Aptos" w:cs="Aptos"/>
                <w:u w:val="single"/>
              </w:rPr>
            </w:pPr>
          </w:p>
        </w:tc>
        <w:tc>
          <w:tcPr>
            <w:tcW w:w="4508" w:type="dxa"/>
          </w:tcPr>
          <w:p w14:paraId="118B569B" w14:textId="216EB3AC" w:rsidR="58EADF19" w:rsidRDefault="58EADF19" w:rsidP="7B6BB41B">
            <w:pPr>
              <w:jc w:val="both"/>
              <w:rPr>
                <w:rFonts w:ascii="Aptos" w:eastAsia="Aptos" w:hAnsi="Aptos" w:cs="Aptos"/>
              </w:rPr>
            </w:pPr>
            <w:commentRangeStart w:id="15"/>
            <w:r w:rsidRPr="07215D11">
              <w:rPr>
                <w:rFonts w:ascii="Aptos" w:eastAsia="Aptos" w:hAnsi="Aptos" w:cs="Aptos"/>
              </w:rPr>
              <w:t xml:space="preserve">No. </w:t>
            </w:r>
            <w:r w:rsidR="71B9C9D1" w:rsidRPr="07215D11">
              <w:rPr>
                <w:rFonts w:ascii="Aptos" w:eastAsia="Aptos" w:hAnsi="Aptos" w:cs="Aptos"/>
              </w:rPr>
              <w:t>La citada partida no debe incluir los saldos que el cliente tiene en un FCI a la espera de su rescate. Esta partida debería incluir los saldos que se encuentren pendientes de ser acreditados en las cuentas de pago de los clientes, tal el caso de las ventas realizadas por comercios cuyos cobros se efectúen utilizando un medio de pago que no resulte en la acreditación inmediata de los fondos (por ejemplo, tarjeta de crédito), en razón de haberse pactado con el PSPCP -y en función de la normativa de fondo vigente- un determinado plazo para su efectiva liquidación en la cuenta de pago. Asimismo, también deberían incluirse las transferencias pendientes de acreditación.</w:t>
            </w:r>
            <w:commentRangeEnd w:id="15"/>
            <w:r>
              <w:rPr>
                <w:rStyle w:val="Refdecomentario"/>
                <w:rFonts w:ascii="Aptos" w:eastAsia="Aptos" w:hAnsi="Aptos" w:cs="Aptos"/>
                <w:sz w:val="24"/>
                <w:szCs w:val="24"/>
              </w:rPr>
              <w:commentReference w:id="15"/>
            </w:r>
          </w:p>
        </w:tc>
      </w:tr>
      <w:tr w:rsidR="66779D14" w14:paraId="0E37A614" w14:textId="77777777" w:rsidTr="3157D90E">
        <w:trPr>
          <w:trHeight w:val="300"/>
        </w:trPr>
        <w:tc>
          <w:tcPr>
            <w:tcW w:w="4508" w:type="dxa"/>
          </w:tcPr>
          <w:p w14:paraId="32188363" w14:textId="04CB6372" w:rsidR="66779D14" w:rsidRDefault="66779D14" w:rsidP="66779D14">
            <w:pPr>
              <w:rPr>
                <w:rFonts w:ascii="Aptos" w:eastAsia="Aptos" w:hAnsi="Aptos" w:cs="Aptos"/>
                <w:u w:val="single"/>
              </w:rPr>
            </w:pPr>
          </w:p>
        </w:tc>
        <w:tc>
          <w:tcPr>
            <w:tcW w:w="4508" w:type="dxa"/>
          </w:tcPr>
          <w:p w14:paraId="6335C582" w14:textId="3927416A" w:rsidR="4452B3E3" w:rsidRDefault="4452B3E3" w:rsidP="66779D14">
            <w:pPr>
              <w:jc w:val="both"/>
              <w:rPr>
                <w:rFonts w:ascii="Aptos" w:eastAsia="Aptos" w:hAnsi="Aptos" w:cs="Aptos"/>
                <w:highlight w:val="green"/>
              </w:rPr>
            </w:pPr>
            <w:r w:rsidRPr="66779D14">
              <w:rPr>
                <w:rFonts w:ascii="Aptos" w:eastAsia="Aptos" w:hAnsi="Aptos" w:cs="Aptos"/>
                <w:highlight w:val="green"/>
              </w:rPr>
              <w:t>Respecto al Modelo de Información, se indica que deben diferenciarse los Créditos en Cuentas Comerciales de aquellos en Cuentas Personales. ¿Qué parámetro debe utilizarse para esta clasificación? ¿Debe emplearse el parámetro de AFIP/ARCA? En ese caso, ¿cuáles son los montos y habitualidad actualizados?</w:t>
            </w:r>
          </w:p>
        </w:tc>
      </w:tr>
      <w:tr w:rsidR="66779D14" w14:paraId="5F7C2C6C" w14:textId="77777777" w:rsidTr="3157D90E">
        <w:trPr>
          <w:trHeight w:val="300"/>
        </w:trPr>
        <w:tc>
          <w:tcPr>
            <w:tcW w:w="4508" w:type="dxa"/>
          </w:tcPr>
          <w:p w14:paraId="335DB8A5" w14:textId="102815F8" w:rsidR="66779D14" w:rsidRDefault="66779D14" w:rsidP="66779D14">
            <w:pPr>
              <w:rPr>
                <w:rFonts w:ascii="Aptos" w:eastAsia="Aptos" w:hAnsi="Aptos" w:cs="Aptos"/>
                <w:u w:val="single"/>
              </w:rPr>
            </w:pPr>
          </w:p>
        </w:tc>
        <w:tc>
          <w:tcPr>
            <w:tcW w:w="4508" w:type="dxa"/>
          </w:tcPr>
          <w:p w14:paraId="74C5347D" w14:textId="08C7BF15" w:rsidR="67520567" w:rsidRDefault="67520567" w:rsidP="66779D14">
            <w:pPr>
              <w:jc w:val="both"/>
              <w:rPr>
                <w:rFonts w:ascii="Aptos" w:eastAsia="Aptos" w:hAnsi="Aptos" w:cs="Aptos"/>
              </w:rPr>
            </w:pPr>
            <w:commentRangeStart w:id="16"/>
            <w:r w:rsidRPr="66779D14">
              <w:rPr>
                <w:rFonts w:ascii="Aptos" w:eastAsia="Aptos" w:hAnsi="Aptos" w:cs="Aptos"/>
              </w:rPr>
              <w:t>El criterio es el que establezca cada PSPCP, el cual debe ser consistente con el utilizado a efectos impositivos.</w:t>
            </w:r>
          </w:p>
          <w:p w14:paraId="30FFD08C" w14:textId="333C871E" w:rsidR="67520567" w:rsidRDefault="67520567" w:rsidP="66779D14">
            <w:pPr>
              <w:jc w:val="both"/>
              <w:rPr>
                <w:rFonts w:ascii="Aptos" w:eastAsia="Aptos" w:hAnsi="Aptos" w:cs="Aptos"/>
              </w:rPr>
            </w:pPr>
            <w:r w:rsidRPr="66779D14">
              <w:rPr>
                <w:rFonts w:ascii="Aptos" w:eastAsia="Aptos" w:hAnsi="Aptos" w:cs="Aptos"/>
              </w:rPr>
              <w:t>En términos generales:</w:t>
            </w:r>
          </w:p>
          <w:p w14:paraId="166A6163" w14:textId="35476485" w:rsidR="67520567" w:rsidRDefault="67520567" w:rsidP="66779D14">
            <w:pPr>
              <w:numPr>
                <w:ilvl w:val="0"/>
                <w:numId w:val="5"/>
              </w:numPr>
              <w:jc w:val="both"/>
              <w:rPr>
                <w:rFonts w:ascii="Aptos" w:eastAsia="Aptos" w:hAnsi="Aptos" w:cs="Aptos"/>
              </w:rPr>
            </w:pPr>
            <w:r w:rsidRPr="66779D14">
              <w:rPr>
                <w:rFonts w:ascii="Aptos" w:eastAsia="Aptos" w:hAnsi="Aptos" w:cs="Aptos"/>
                <w:b/>
                <w:bCs/>
              </w:rPr>
              <w:t>Cuenta Comercial</w:t>
            </w:r>
            <w:r w:rsidRPr="66779D14">
              <w:rPr>
                <w:rFonts w:ascii="Aptos" w:eastAsia="Aptos" w:hAnsi="Aptos" w:cs="Aptos"/>
              </w:rPr>
              <w:t>: se refiere a aquellas cuentas en las que las operaciones están vinculadas con la actividad comercial del cliente (puede tratarse tanto de una persona humana como de una persona jurídica).</w:t>
            </w:r>
          </w:p>
          <w:p w14:paraId="02BD3005" w14:textId="4A00FFB8" w:rsidR="67520567" w:rsidRDefault="67520567" w:rsidP="66779D14">
            <w:pPr>
              <w:numPr>
                <w:ilvl w:val="0"/>
                <w:numId w:val="5"/>
              </w:numPr>
              <w:jc w:val="both"/>
              <w:rPr>
                <w:rFonts w:ascii="Aptos" w:eastAsia="Aptos" w:hAnsi="Aptos" w:cs="Aptos"/>
              </w:rPr>
            </w:pPr>
            <w:r w:rsidRPr="66779D14">
              <w:rPr>
                <w:rFonts w:ascii="Aptos" w:eastAsia="Aptos" w:hAnsi="Aptos" w:cs="Aptos"/>
                <w:b/>
                <w:bCs/>
              </w:rPr>
              <w:t>Cuenta Personal/No Comercial</w:t>
            </w:r>
            <w:r w:rsidRPr="66779D14">
              <w:rPr>
                <w:rFonts w:ascii="Aptos" w:eastAsia="Aptos" w:hAnsi="Aptos" w:cs="Aptos"/>
              </w:rPr>
              <w:t>: se refiere a aquellas cuentas en las que las operaciones no guardan relación con una actividad comercial (también puede corresponder a una persona humana o jurídica).</w:t>
            </w:r>
            <w:commentRangeEnd w:id="16"/>
            <w:r>
              <w:rPr>
                <w:rStyle w:val="Refdecomentario"/>
                <w:rFonts w:ascii="Aptos" w:eastAsia="Aptos" w:hAnsi="Aptos" w:cs="Aptos"/>
                <w:sz w:val="24"/>
                <w:szCs w:val="24"/>
              </w:rPr>
              <w:commentReference w:id="16"/>
            </w:r>
          </w:p>
        </w:tc>
      </w:tr>
      <w:tr w:rsidR="275543A2" w14:paraId="18067F9C" w14:textId="77777777" w:rsidTr="3157D90E">
        <w:trPr>
          <w:trHeight w:val="300"/>
        </w:trPr>
        <w:tc>
          <w:tcPr>
            <w:tcW w:w="9016" w:type="dxa"/>
            <w:gridSpan w:val="2"/>
            <w:vAlign w:val="center"/>
          </w:tcPr>
          <w:p w14:paraId="1867DD74" w14:textId="000E7BC2" w:rsidR="6B1DC41E" w:rsidRDefault="6B1DC41E" w:rsidP="275543A2">
            <w:pPr>
              <w:jc w:val="center"/>
              <w:rPr>
                <w:rFonts w:ascii="Aptos" w:eastAsia="Aptos" w:hAnsi="Aptos" w:cs="Aptos"/>
                <w:b/>
                <w:bCs/>
                <w:color w:val="002060"/>
              </w:rPr>
            </w:pPr>
            <w:r w:rsidRPr="275543A2">
              <w:rPr>
                <w:rFonts w:ascii="Aptos" w:eastAsia="Aptos" w:hAnsi="Aptos" w:cs="Aptos"/>
                <w:b/>
                <w:bCs/>
                <w:color w:val="002060"/>
              </w:rPr>
              <w:t>APARTADO B: INFORMACIÓN ESTADÍSTICA</w:t>
            </w:r>
          </w:p>
        </w:tc>
      </w:tr>
      <w:tr w:rsidR="275543A2" w14:paraId="12BEBFB8" w14:textId="77777777" w:rsidTr="3157D90E">
        <w:trPr>
          <w:trHeight w:val="300"/>
        </w:trPr>
        <w:tc>
          <w:tcPr>
            <w:tcW w:w="4508" w:type="dxa"/>
          </w:tcPr>
          <w:p w14:paraId="43C16814" w14:textId="72DC1AEA" w:rsidR="6B1DC41E" w:rsidRDefault="6B1DC41E" w:rsidP="275543A2">
            <w:pPr>
              <w:spacing w:after="160" w:line="279" w:lineRule="auto"/>
              <w:rPr>
                <w:rFonts w:ascii="Aptos" w:eastAsia="Aptos" w:hAnsi="Aptos" w:cs="Aptos"/>
                <w:b/>
                <w:bCs/>
              </w:rPr>
            </w:pPr>
            <w:r w:rsidRPr="275543A2">
              <w:rPr>
                <w:rFonts w:ascii="Aptos" w:eastAsia="Aptos" w:hAnsi="Aptos" w:cs="Aptos"/>
                <w:b/>
                <w:bCs/>
              </w:rPr>
              <w:t>¿Cuál sería el concepto? ¿Y el medio de pago?</w:t>
            </w:r>
          </w:p>
        </w:tc>
        <w:tc>
          <w:tcPr>
            <w:tcW w:w="4508" w:type="dxa"/>
          </w:tcPr>
          <w:p w14:paraId="7ABC09C1" w14:textId="5E89470D" w:rsidR="2179DC13" w:rsidRDefault="2179DC13" w:rsidP="275543A2">
            <w:pPr>
              <w:rPr>
                <w:rFonts w:ascii="Aptos" w:eastAsia="Aptos" w:hAnsi="Aptos" w:cs="Aptos"/>
                <w:b/>
                <w:bCs/>
              </w:rPr>
            </w:pPr>
            <w:r w:rsidRPr="275543A2">
              <w:rPr>
                <w:rFonts w:ascii="Aptos" w:eastAsia="Aptos" w:hAnsi="Aptos" w:cs="Aptos"/>
                <w:b/>
                <w:bCs/>
              </w:rPr>
              <w:t>¿Cómo se determina el código de “concepto” y el código de “medio de pago” que debe declararse para una operación?</w:t>
            </w:r>
          </w:p>
        </w:tc>
      </w:tr>
      <w:tr w:rsidR="275543A2" w14:paraId="3BDE17FC" w14:textId="77777777" w:rsidTr="3157D90E">
        <w:trPr>
          <w:trHeight w:val="300"/>
        </w:trPr>
        <w:tc>
          <w:tcPr>
            <w:tcW w:w="4508" w:type="dxa"/>
          </w:tcPr>
          <w:p w14:paraId="722D4D47" w14:textId="3148544E" w:rsidR="6B1DC41E" w:rsidRDefault="6B1DC41E" w:rsidP="275543A2">
            <w:pPr>
              <w:spacing w:after="160" w:line="279" w:lineRule="auto"/>
              <w:rPr>
                <w:rFonts w:ascii="Aptos" w:eastAsia="Aptos" w:hAnsi="Aptos" w:cs="Aptos"/>
              </w:rPr>
            </w:pPr>
            <w:r w:rsidRPr="275543A2">
              <w:rPr>
                <w:rFonts w:ascii="Aptos" w:eastAsia="Aptos" w:hAnsi="Aptos" w:cs="Aptos"/>
              </w:rPr>
              <w:t>R</w:t>
            </w:r>
            <w:r w:rsidRPr="275543A2">
              <w:rPr>
                <w:rFonts w:eastAsiaTheme="minorEastAsia"/>
                <w:u w:val="single"/>
              </w:rPr>
              <w:t>espuesta</w:t>
            </w:r>
            <w:r w:rsidRPr="275543A2">
              <w:rPr>
                <w:rFonts w:ascii="Aptos" w:eastAsia="Aptos" w:hAnsi="Aptos" w:cs="Aptos"/>
              </w:rPr>
              <w:t>: En el punto III.2 de la Com. "A" 6929 se encuentra el modelo de información al igual que las tablas con los códigos de medios de pago y esquemas de pagos.</w:t>
            </w:r>
          </w:p>
        </w:tc>
        <w:tc>
          <w:tcPr>
            <w:tcW w:w="4508" w:type="dxa"/>
          </w:tcPr>
          <w:p w14:paraId="40B7C7BC" w14:textId="6374FCD6" w:rsidR="063E98DA" w:rsidRDefault="063E98DA" w:rsidP="275543A2">
            <w:pPr>
              <w:rPr>
                <w:rFonts w:ascii="Aptos" w:eastAsia="Aptos" w:hAnsi="Aptos" w:cs="Aptos"/>
              </w:rPr>
            </w:pPr>
            <w:r w:rsidRPr="275543A2">
              <w:rPr>
                <w:rFonts w:ascii="Aptos" w:eastAsia="Aptos" w:hAnsi="Aptos" w:cs="Aptos"/>
                <w:u w:val="single"/>
              </w:rPr>
              <w:t>Respuesta:</w:t>
            </w:r>
            <w:r w:rsidRPr="275543A2">
              <w:rPr>
                <w:rFonts w:ascii="Aptos" w:eastAsia="Aptos" w:hAnsi="Aptos" w:cs="Aptos"/>
              </w:rPr>
              <w:t xml:space="preserve"> El código de “concepto” y el código de “medio de pago” deben seleccionarse de las tablas incluidas en el punto III.2 de la Comunicación “A” 8284 (y sus modificatorias). Dichas tablas identifican:</w:t>
            </w:r>
          </w:p>
          <w:p w14:paraId="2B091A5E" w14:textId="710FE7A1" w:rsidR="063E98DA" w:rsidRDefault="063E98DA" w:rsidP="275543A2">
            <w:pPr>
              <w:numPr>
                <w:ilvl w:val="0"/>
                <w:numId w:val="12"/>
              </w:numPr>
              <w:rPr>
                <w:rFonts w:ascii="Aptos" w:eastAsia="Aptos" w:hAnsi="Aptos" w:cs="Aptos"/>
              </w:rPr>
            </w:pPr>
            <w:r w:rsidRPr="275543A2">
              <w:rPr>
                <w:rFonts w:ascii="Aptos" w:eastAsia="Aptos" w:hAnsi="Aptos" w:cs="Aptos"/>
                <w:b/>
                <w:bCs/>
              </w:rPr>
              <w:t>Concepto:</w:t>
            </w:r>
            <w:r w:rsidRPr="275543A2">
              <w:rPr>
                <w:rFonts w:ascii="Aptos" w:eastAsia="Aptos" w:hAnsi="Aptos" w:cs="Aptos"/>
              </w:rPr>
              <w:t xml:space="preserve"> Motivo o naturaleza de la operación, según la tipología establecida (por ejemplo, pago de bienes, pago de servicios, transferencias, etc.).</w:t>
            </w:r>
          </w:p>
          <w:p w14:paraId="73FE72D2" w14:textId="3106609E" w:rsidR="063E98DA" w:rsidRDefault="063E98DA" w:rsidP="275543A2">
            <w:pPr>
              <w:numPr>
                <w:ilvl w:val="0"/>
                <w:numId w:val="12"/>
              </w:numPr>
              <w:rPr>
                <w:rFonts w:ascii="Aptos" w:eastAsia="Aptos" w:hAnsi="Aptos" w:cs="Aptos"/>
              </w:rPr>
            </w:pPr>
            <w:r w:rsidRPr="275543A2">
              <w:rPr>
                <w:rFonts w:ascii="Aptos" w:eastAsia="Aptos" w:hAnsi="Aptos" w:cs="Aptos"/>
                <w:b/>
                <w:bCs/>
              </w:rPr>
              <w:t>Medio de pago:</w:t>
            </w:r>
            <w:r w:rsidRPr="275543A2">
              <w:rPr>
                <w:rFonts w:ascii="Aptos" w:eastAsia="Aptos" w:hAnsi="Aptos" w:cs="Aptos"/>
              </w:rPr>
              <w:t xml:space="preserve"> Instrumento o canal utilizado para concretar la operación (por ejemplo, tarjeta de débito, tarjeta de crédito, transferencia bancaria, billetera electrónica, etc.).</w:t>
            </w:r>
          </w:p>
        </w:tc>
      </w:tr>
      <w:tr w:rsidR="003C1F79" w14:paraId="75546AC0" w14:textId="77777777" w:rsidTr="3157D90E">
        <w:trPr>
          <w:trHeight w:val="300"/>
        </w:trPr>
        <w:tc>
          <w:tcPr>
            <w:tcW w:w="4508" w:type="dxa"/>
          </w:tcPr>
          <w:p w14:paraId="020E903C" w14:textId="77777777" w:rsidR="003C1F79" w:rsidRPr="275543A2" w:rsidRDefault="003C1F79" w:rsidP="275543A2">
            <w:pPr>
              <w:rPr>
                <w:rFonts w:ascii="Aptos" w:eastAsia="Aptos" w:hAnsi="Aptos" w:cs="Aptos"/>
              </w:rPr>
            </w:pPr>
          </w:p>
        </w:tc>
        <w:tc>
          <w:tcPr>
            <w:tcW w:w="4508" w:type="dxa"/>
          </w:tcPr>
          <w:p w14:paraId="524BC5E4" w14:textId="7B1A0CD8" w:rsidR="003C1F79" w:rsidRDefault="003C1F79" w:rsidP="003C1F79">
            <w:pPr>
              <w:rPr>
                <w:b/>
                <w:highlight w:val="yellow"/>
              </w:rPr>
            </w:pPr>
            <w:commentRangeStart w:id="17"/>
            <w:r w:rsidRPr="003C1F79">
              <w:rPr>
                <w:b/>
                <w:highlight w:val="yellow"/>
              </w:rPr>
              <w:t>En el Apartado B, según el punto III.1.a deben informarse los créditos y débitos cuando haya “</w:t>
            </w:r>
            <w:r w:rsidR="00FD457F">
              <w:rPr>
                <w:b/>
                <w:highlight w:val="yellow"/>
              </w:rPr>
              <w:t xml:space="preserve"> </w:t>
            </w:r>
            <w:r w:rsidRPr="003C1F79">
              <w:rPr>
                <w:b/>
                <w:highlight w:val="yellow"/>
              </w:rPr>
              <w:t xml:space="preserve">”. ¿Qué se entiende por afectación de la cuenta de pago, especialmente en esquemas de inversión automática en FCM, donde se registran suscripciones, </w:t>
            </w:r>
            <w:r w:rsidRPr="003C1F79">
              <w:rPr>
                <w:b/>
                <w:highlight w:val="yellow"/>
              </w:rPr>
              <w:lastRenderedPageBreak/>
              <w:t>rescates y acreditación de rendimientos?</w:t>
            </w:r>
            <w:commentRangeEnd w:id="17"/>
            <w:r>
              <w:rPr>
                <w:rStyle w:val="Refdecomentario"/>
                <w:b/>
                <w:sz w:val="24"/>
                <w:szCs w:val="24"/>
                <w:highlight w:val="yellow"/>
              </w:rPr>
              <w:commentReference w:id="17"/>
            </w:r>
          </w:p>
          <w:p w14:paraId="5320184A" w14:textId="77777777" w:rsidR="003C1F79" w:rsidRDefault="003C1F79" w:rsidP="003C1F79">
            <w:pPr>
              <w:rPr>
                <w:highlight w:val="yellow"/>
              </w:rPr>
            </w:pPr>
          </w:p>
          <w:p w14:paraId="58E9874F" w14:textId="77777777" w:rsidR="003C1F79" w:rsidRPr="003C1F79" w:rsidRDefault="003C1F79" w:rsidP="003C1F79">
            <w:pPr>
              <w:rPr>
                <w:highlight w:val="yellow"/>
              </w:rPr>
            </w:pPr>
            <w:r w:rsidRPr="003C1F79">
              <w:rPr>
                <w:highlight w:val="yellow"/>
              </w:rPr>
              <w:t>Respuesta: Por “afectación de una cuenta de pago de los clientes del PSPCP” se entiende cualquier movimiento que impacte directamente en el saldo de una cuenta de pago de los clientes del PSPCP. Esto incluye tanto los créditos (ingresos de dinero) como los débitos (egresos de dinero) realizados en dichas cuentas.</w:t>
            </w:r>
          </w:p>
          <w:p w14:paraId="0ACD4574" w14:textId="77777777" w:rsidR="003C1F79" w:rsidRPr="003C1F79" w:rsidRDefault="003C1F79" w:rsidP="003C1F79">
            <w:pPr>
              <w:rPr>
                <w:highlight w:val="yellow"/>
              </w:rPr>
            </w:pPr>
            <w:r w:rsidRPr="003C1F79">
              <w:rPr>
                <w:highlight w:val="yellow"/>
              </w:rPr>
              <w:t>En consecuencia, en esquemas de inversión automática en FCM, deben informarse los movimientos que impacten en el saldo de la cuenta de pago del cliente — típicamente, las suscripciones (débitos), los rescates (créditos) y la acreditación de rendimientos (créditos) — cuando estos se registren en forma individual por cliente.</w:t>
            </w:r>
          </w:p>
          <w:p w14:paraId="680C940F" w14:textId="77777777" w:rsidR="003C1F79" w:rsidRPr="003C1F79" w:rsidRDefault="003C1F79" w:rsidP="003C1F79">
            <w:pPr>
              <w:rPr>
                <w:highlight w:val="yellow"/>
              </w:rPr>
            </w:pPr>
            <w:r w:rsidRPr="003C1F79">
              <w:rPr>
                <w:highlight w:val="yellow"/>
              </w:rPr>
              <w:t>Una vez identificadas las operaciones a informar, su clasificación en partidas debe seguir el criterio general previsto en el Modelo de Información del Apartado B:</w:t>
            </w:r>
          </w:p>
          <w:p w14:paraId="09346DE6" w14:textId="77777777" w:rsidR="003C1F79" w:rsidRPr="003C1F79" w:rsidRDefault="003C1F79" w:rsidP="003C1F79">
            <w:pPr>
              <w:rPr>
                <w:highlight w:val="yellow"/>
              </w:rPr>
            </w:pPr>
            <w:r w:rsidRPr="003C1F79">
              <w:rPr>
                <w:highlight w:val="yellow"/>
              </w:rPr>
              <w:t>Si corresponden a créditos y/o débitos.</w:t>
            </w:r>
          </w:p>
          <w:p w14:paraId="148169A4" w14:textId="77777777" w:rsidR="003C1F79" w:rsidRPr="003C1F79" w:rsidRDefault="003C1F79" w:rsidP="003C1F79">
            <w:pPr>
              <w:rPr>
                <w:highlight w:val="yellow"/>
              </w:rPr>
            </w:pPr>
            <w:r w:rsidRPr="003C1F79">
              <w:rPr>
                <w:highlight w:val="yellow"/>
              </w:rPr>
              <w:t>Tipo de cuenta acreditada/debitada según el modelo de información del punto III.2.</w:t>
            </w:r>
          </w:p>
          <w:p w14:paraId="7A5E993E" w14:textId="77777777" w:rsidR="003C1F79" w:rsidRPr="003C1F79" w:rsidRDefault="003C1F79" w:rsidP="003C1F79">
            <w:pPr>
              <w:rPr>
                <w:highlight w:val="yellow"/>
              </w:rPr>
            </w:pPr>
            <w:r w:rsidRPr="003C1F79">
              <w:rPr>
                <w:highlight w:val="yellow"/>
              </w:rPr>
              <w:t>Titularidad (“Cuenta de pago propia – Comercial”, “Cuenta de pago propia – Personal/No comercial”, “Cuenta de otro PSPCP”, “Cuenta de EF”, “Otros”).</w:t>
            </w:r>
          </w:p>
          <w:p w14:paraId="56854981" w14:textId="77777777" w:rsidR="003C1F79" w:rsidRPr="003C1F79" w:rsidRDefault="003C1F79" w:rsidP="003C1F79">
            <w:pPr>
              <w:rPr>
                <w:highlight w:val="yellow"/>
              </w:rPr>
            </w:pPr>
            <w:r w:rsidRPr="003C1F79">
              <w:rPr>
                <w:highlight w:val="yellow"/>
              </w:rPr>
              <w:t>Método de iniciación (QR, link, PCT, etc.).</w:t>
            </w:r>
          </w:p>
          <w:p w14:paraId="3D0614C6" w14:textId="77777777" w:rsidR="003C1F79" w:rsidRPr="003C1F79" w:rsidRDefault="003C1F79" w:rsidP="003C1F79">
            <w:pPr>
              <w:rPr>
                <w:highlight w:val="yellow"/>
              </w:rPr>
            </w:pPr>
            <w:r w:rsidRPr="003C1F79">
              <w:rPr>
                <w:highlight w:val="yellow"/>
              </w:rPr>
              <w:t>Medio de pago (Tabla 1) y esquema de pago (Tabla 2), p. ej. tarjeta, transferencia, esquema DEBIN, etc.</w:t>
            </w:r>
          </w:p>
          <w:p w14:paraId="5CFB4063" w14:textId="0C233071" w:rsidR="003C1F79" w:rsidRPr="003C1F79" w:rsidRDefault="003C1F79" w:rsidP="003C1F79">
            <w:pPr>
              <w:rPr>
                <w:highlight w:val="yellow"/>
              </w:rPr>
            </w:pPr>
            <w:r w:rsidRPr="003C1F79">
              <w:rPr>
                <w:highlight w:val="yellow"/>
              </w:rPr>
              <w:t>El detalle del marco general de clasificación y el tratamiento específico de suscripciones y rescates en el Apartado B se encuentran desarrollados en otras preguntas de este compendio.</w:t>
            </w:r>
          </w:p>
          <w:p w14:paraId="03BFEF85" w14:textId="5A1B1B82" w:rsidR="003C1F79" w:rsidRPr="275543A2" w:rsidRDefault="003C1F79" w:rsidP="275543A2">
            <w:pPr>
              <w:rPr>
                <w:rFonts w:ascii="Aptos" w:eastAsia="Aptos" w:hAnsi="Aptos" w:cs="Aptos"/>
                <w:u w:val="single"/>
              </w:rPr>
            </w:pPr>
          </w:p>
        </w:tc>
      </w:tr>
      <w:tr w:rsidR="00B82BDF" w14:paraId="29839FE4" w14:textId="77777777" w:rsidTr="3157D90E">
        <w:trPr>
          <w:trHeight w:val="300"/>
        </w:trPr>
        <w:tc>
          <w:tcPr>
            <w:tcW w:w="4508" w:type="dxa"/>
          </w:tcPr>
          <w:p w14:paraId="5FBDB2D5" w14:textId="77777777" w:rsidR="00B82BDF" w:rsidRPr="275543A2" w:rsidRDefault="00B82BDF" w:rsidP="275543A2">
            <w:pPr>
              <w:rPr>
                <w:rFonts w:ascii="Aptos" w:eastAsia="Aptos" w:hAnsi="Aptos" w:cs="Aptos"/>
              </w:rPr>
            </w:pPr>
          </w:p>
        </w:tc>
        <w:tc>
          <w:tcPr>
            <w:tcW w:w="4508" w:type="dxa"/>
          </w:tcPr>
          <w:p w14:paraId="4C05D6AD" w14:textId="77777777" w:rsidR="009458B0" w:rsidRDefault="009458B0" w:rsidP="009458B0">
            <w:pPr>
              <w:rPr>
                <w:b/>
                <w:highlight w:val="yellow"/>
              </w:rPr>
            </w:pPr>
            <w:commentRangeStart w:id="18"/>
            <w:r w:rsidRPr="009458B0">
              <w:rPr>
                <w:b/>
                <w:highlight w:val="yellow"/>
              </w:rPr>
              <w:t xml:space="preserve">En el Apartado B, ¿cuál es el criterio general de clasificación de las operaciones entre las categorías </w:t>
            </w:r>
            <w:r w:rsidRPr="009458B0">
              <w:rPr>
                <w:b/>
                <w:highlight w:val="yellow"/>
              </w:rPr>
              <w:lastRenderedPageBreak/>
              <w:t>“Cuenta de pago propia”, “Cuenta de EF” y “Cuenta de otro PSPCP”, y qué partidas corresponden a los débitos en cada una?</w:t>
            </w:r>
            <w:commentRangeEnd w:id="18"/>
            <w:r>
              <w:rPr>
                <w:rStyle w:val="Refdecomentario"/>
                <w:b/>
                <w:sz w:val="24"/>
                <w:szCs w:val="24"/>
                <w:highlight w:val="yellow"/>
              </w:rPr>
              <w:commentReference w:id="18"/>
            </w:r>
          </w:p>
          <w:p w14:paraId="4AE72E8C" w14:textId="77777777" w:rsidR="009458B0" w:rsidRDefault="009458B0" w:rsidP="009458B0">
            <w:pPr>
              <w:rPr>
                <w:highlight w:val="yellow"/>
              </w:rPr>
            </w:pPr>
          </w:p>
          <w:p w14:paraId="0F6D0ECB" w14:textId="77777777" w:rsidR="009458B0" w:rsidRPr="009458B0" w:rsidRDefault="009458B0" w:rsidP="009458B0">
            <w:pPr>
              <w:rPr>
                <w:highlight w:val="yellow"/>
              </w:rPr>
            </w:pPr>
            <w:r w:rsidRPr="009458B0">
              <w:rPr>
                <w:highlight w:val="yellow"/>
              </w:rPr>
              <w:t>Respuesta: Las transacciones se clasifican en partidas teniendo en cuenta los siguientes criterios:</w:t>
            </w:r>
          </w:p>
          <w:p w14:paraId="14845C77" w14:textId="77777777" w:rsidR="009458B0" w:rsidRPr="009458B0" w:rsidRDefault="009458B0" w:rsidP="009458B0">
            <w:pPr>
              <w:rPr>
                <w:highlight w:val="yellow"/>
              </w:rPr>
            </w:pPr>
            <w:r w:rsidRPr="009458B0">
              <w:rPr>
                <w:highlight w:val="yellow"/>
              </w:rPr>
              <w:t>Si corresponden a créditos y/o débitos.</w:t>
            </w:r>
          </w:p>
          <w:p w14:paraId="073DF2DF" w14:textId="77777777" w:rsidR="009458B0" w:rsidRPr="009458B0" w:rsidRDefault="009458B0" w:rsidP="009458B0">
            <w:pPr>
              <w:rPr>
                <w:highlight w:val="yellow"/>
              </w:rPr>
            </w:pPr>
            <w:r w:rsidRPr="009458B0">
              <w:rPr>
                <w:highlight w:val="yellow"/>
              </w:rPr>
              <w:t>Tipo de cuenta a acreditar.</w:t>
            </w:r>
          </w:p>
          <w:p w14:paraId="7AEE333B" w14:textId="77777777" w:rsidR="009458B0" w:rsidRPr="009458B0" w:rsidRDefault="009458B0" w:rsidP="009458B0">
            <w:pPr>
              <w:rPr>
                <w:highlight w:val="yellow"/>
              </w:rPr>
            </w:pPr>
            <w:r w:rsidRPr="009458B0">
              <w:rPr>
                <w:highlight w:val="yellow"/>
              </w:rPr>
              <w:t>Tipo de titular (cuando se refiere a “Cuenta de pago propia”).</w:t>
            </w:r>
          </w:p>
          <w:p w14:paraId="1600B60B" w14:textId="77777777" w:rsidR="009458B0" w:rsidRPr="009458B0" w:rsidRDefault="009458B0" w:rsidP="009458B0">
            <w:pPr>
              <w:rPr>
                <w:highlight w:val="yellow"/>
              </w:rPr>
            </w:pPr>
            <w:r w:rsidRPr="009458B0">
              <w:rPr>
                <w:highlight w:val="yellow"/>
              </w:rPr>
              <w:t>Método de iniciación.</w:t>
            </w:r>
          </w:p>
          <w:p w14:paraId="0D62EA0A" w14:textId="77777777" w:rsidR="009458B0" w:rsidRPr="009458B0" w:rsidRDefault="009458B0" w:rsidP="009458B0">
            <w:pPr>
              <w:rPr>
                <w:highlight w:val="yellow"/>
              </w:rPr>
            </w:pPr>
            <w:r w:rsidRPr="009458B0">
              <w:rPr>
                <w:highlight w:val="yellow"/>
              </w:rPr>
              <w:t>A su vez, cada una de esas partidas se agrupará de acuerdo con el medio de pago y el esquema de pago correspondientes a las Tablas 1 y 2 del RI. El esquema de pago asociado dependerá del medio de pago utilizado. Las reglas de validación sobre las combinaciones permitidas entre código de esquema de pago y medio de pago se encuentran detalladas en el punto 69.2.2.4 de las instrucciones operativas (https://www.bcra.gob.ar/archivos/Pdfs/texord/t-SO-S69.pdf).</w:t>
            </w:r>
          </w:p>
          <w:p w14:paraId="387CF19B" w14:textId="77777777" w:rsidR="009458B0" w:rsidRPr="009458B0" w:rsidRDefault="009458B0" w:rsidP="009458B0">
            <w:pPr>
              <w:rPr>
                <w:highlight w:val="yellow"/>
              </w:rPr>
            </w:pPr>
            <w:r w:rsidRPr="009458B0">
              <w:rPr>
                <w:highlight w:val="yellow"/>
              </w:rPr>
              <w:t>Cuenta de pago propia: se utiliza cuando quien recibe el pago o transferencia acredite los fondos en una cuenta del mismo PSP. Cuando deban informar transacciones correspondientes a débitos hacia esta categoría deben utilizar:</w:t>
            </w:r>
          </w:p>
          <w:p w14:paraId="5CB1C953" w14:textId="77777777" w:rsidR="009458B0" w:rsidRPr="009458B0" w:rsidRDefault="009458B0" w:rsidP="009458B0">
            <w:pPr>
              <w:rPr>
                <w:highlight w:val="yellow"/>
              </w:rPr>
            </w:pPr>
            <w:r w:rsidRPr="009458B0">
              <w:rPr>
                <w:highlight w:val="yellow"/>
              </w:rPr>
              <w:t>Cuenta de pago propia – Comercial: partidas 20101XX a 20107XX.</w:t>
            </w:r>
          </w:p>
          <w:p w14:paraId="39928398" w14:textId="77777777" w:rsidR="009458B0" w:rsidRPr="009458B0" w:rsidRDefault="009458B0" w:rsidP="009458B0">
            <w:pPr>
              <w:rPr>
                <w:highlight w:val="yellow"/>
              </w:rPr>
            </w:pPr>
            <w:r w:rsidRPr="009458B0">
              <w:rPr>
                <w:highlight w:val="yellow"/>
              </w:rPr>
              <w:t>Cuenta de pago propia – Personal/No comercial: partidas 20201XX a 20207XX.</w:t>
            </w:r>
          </w:p>
          <w:p w14:paraId="00FAAC4E" w14:textId="77777777" w:rsidR="009458B0" w:rsidRPr="009458B0" w:rsidRDefault="009458B0" w:rsidP="009458B0">
            <w:pPr>
              <w:rPr>
                <w:highlight w:val="yellow"/>
              </w:rPr>
            </w:pPr>
            <w:r w:rsidRPr="009458B0">
              <w:rPr>
                <w:highlight w:val="yellow"/>
              </w:rPr>
              <w:t>Cuenta de EF: se utiliza cuando quien recibe el pago o transferencia acredite los fondos en una cuenta bancaria administrada por una entidad financiera (identificada mediante CBU). Cuando deban informar transacciones correspondientes a débitos hacia “Cuenta de EF” deben utilizar las partidas 2040100 a 2040700.</w:t>
            </w:r>
          </w:p>
          <w:p w14:paraId="1C5F3A1B" w14:textId="53A8776E" w:rsidR="009458B0" w:rsidRPr="009458B0" w:rsidRDefault="009458B0" w:rsidP="009458B0">
            <w:pPr>
              <w:rPr>
                <w:highlight w:val="yellow"/>
              </w:rPr>
            </w:pPr>
            <w:r w:rsidRPr="009458B0">
              <w:rPr>
                <w:highlight w:val="yellow"/>
              </w:rPr>
              <w:lastRenderedPageBreak/>
              <w:t>Cuenta de otro PSPCP: se utiliza cuando quien recibe el pago o transferencia acredite los fondos en una cuenta de pago (CVU) administrada por otro PSPCP distinto del que realiza la presentación al RI. Cuando deban informar transacciones correspondientes a débitos hacia “Cuenta de otro PSPCP” deben utilizar las partidas 2030100 a 2030700.</w:t>
            </w:r>
          </w:p>
          <w:p w14:paraId="0B82870C" w14:textId="3446D4D2" w:rsidR="00B82BDF" w:rsidRPr="275543A2" w:rsidRDefault="00B82BDF" w:rsidP="275543A2">
            <w:pPr>
              <w:rPr>
                <w:rFonts w:ascii="Aptos" w:eastAsia="Aptos" w:hAnsi="Aptos" w:cs="Aptos"/>
                <w:u w:val="single"/>
              </w:rPr>
            </w:pPr>
          </w:p>
        </w:tc>
      </w:tr>
      <w:tr w:rsidR="275543A2" w14:paraId="3701BD30" w14:textId="77777777" w:rsidTr="3157D90E">
        <w:trPr>
          <w:trHeight w:val="300"/>
        </w:trPr>
        <w:tc>
          <w:tcPr>
            <w:tcW w:w="4508" w:type="dxa"/>
          </w:tcPr>
          <w:p w14:paraId="063039DA" w14:textId="7C211657" w:rsidR="063E98DA" w:rsidRDefault="063E98DA" w:rsidP="275543A2">
            <w:pPr>
              <w:spacing w:after="160" w:line="279" w:lineRule="auto"/>
            </w:pPr>
            <w:r w:rsidRPr="275543A2">
              <w:rPr>
                <w:rFonts w:ascii="Aptos" w:eastAsia="Aptos" w:hAnsi="Aptos" w:cs="Aptos"/>
                <w:b/>
                <w:bCs/>
              </w:rPr>
              <w:lastRenderedPageBreak/>
              <w:t>Con motivo de la inscripción de la entidad en el régimen PSP, nos comunicaron que debemos realizar en el mes de agosto, la presentación de los apartados A y B correspondientes al mes de julio. En estos momentos, la entidad aún no ha abierto su operatoria al público en general, sino que se encuentra en un proceso de pruebas internas. En función de ello necesitaríamos nos indiquen si, ¿el régimen debe presentarse de todas formas o bien, debemos hacerlo cuando la operatoria esté productiva?</w:t>
            </w:r>
          </w:p>
        </w:tc>
        <w:tc>
          <w:tcPr>
            <w:tcW w:w="4508" w:type="dxa"/>
          </w:tcPr>
          <w:p w14:paraId="744B3B10" w14:textId="45AD24CD" w:rsidR="44DD2C6B" w:rsidRDefault="44DD2C6B" w:rsidP="275543A2">
            <w:pPr>
              <w:rPr>
                <w:rFonts w:ascii="Aptos" w:eastAsia="Aptos" w:hAnsi="Aptos" w:cs="Aptos"/>
                <w:b/>
                <w:bCs/>
              </w:rPr>
            </w:pPr>
            <w:r w:rsidRPr="275543A2">
              <w:rPr>
                <w:rFonts w:ascii="Aptos" w:eastAsia="Aptos" w:hAnsi="Aptos" w:cs="Aptos"/>
                <w:b/>
                <w:bCs/>
              </w:rPr>
              <w:t>En el marco del régimen informativo para PSP, si la entidad recibió el certificado de inscripción pero aún no inició operaciones con el público y solo realizó pruebas internas, ¿corresponde igualmente presentar la información de los apartados A y B por el período correspondiente, o se debe comenzar a presentar una vez que la operatoria esté productiva?</w:t>
            </w:r>
          </w:p>
        </w:tc>
      </w:tr>
      <w:tr w:rsidR="275543A2" w14:paraId="058E59A9" w14:textId="77777777" w:rsidTr="3157D90E">
        <w:trPr>
          <w:trHeight w:val="300"/>
        </w:trPr>
        <w:tc>
          <w:tcPr>
            <w:tcW w:w="4508" w:type="dxa"/>
          </w:tcPr>
          <w:p w14:paraId="76306E9F" w14:textId="63B5B5AD" w:rsidR="063E98DA" w:rsidRDefault="063E98DA" w:rsidP="275543A2">
            <w:pPr>
              <w:spacing w:after="160" w:line="279" w:lineRule="auto"/>
            </w:pPr>
            <w:r w:rsidRPr="275543A2">
              <w:rPr>
                <w:rFonts w:ascii="Aptos" w:eastAsia="Aptos" w:hAnsi="Aptos" w:cs="Aptos"/>
                <w:u w:val="single"/>
              </w:rPr>
              <w:t>Respuesta:</w:t>
            </w:r>
            <w:r w:rsidRPr="275543A2">
              <w:rPr>
                <w:rFonts w:ascii="Aptos" w:eastAsia="Aptos" w:hAnsi="Aptos" w:cs="Aptos"/>
              </w:rPr>
              <w:t xml:space="preserve"> "El primer periodo para el que deberán presentar información -mes para el caso de los Apartados A y B, trimestre calendario para el Apartado C- será aquel en que la Superintendencia de Entidades Financieras y Cambiarias haya emitido el certificado de inscripción en el “Registro de proveedores de servicios de pago que ofrecen cuentas de pago”. Si solo se hubieran realizado pruebas internas sin operaciones reales en el período que se trate, se debería efectuar igualmente una presentación con la opción "NO OPERA" .</w:t>
            </w:r>
          </w:p>
        </w:tc>
        <w:tc>
          <w:tcPr>
            <w:tcW w:w="4508" w:type="dxa"/>
          </w:tcPr>
          <w:p w14:paraId="0B617908" w14:textId="7D00937E" w:rsidR="3B69138C" w:rsidRDefault="3B69138C">
            <w:r w:rsidRPr="275543A2">
              <w:rPr>
                <w:rFonts w:ascii="Aptos" w:eastAsia="Aptos" w:hAnsi="Aptos" w:cs="Aptos"/>
                <w:u w:val="single"/>
              </w:rPr>
              <w:t xml:space="preserve">Respuesta: </w:t>
            </w:r>
            <w:r w:rsidRPr="275543A2">
              <w:rPr>
                <w:rFonts w:ascii="Aptos" w:eastAsia="Aptos" w:hAnsi="Aptos" w:cs="Aptos"/>
              </w:rPr>
              <w:t>El primer período para el que deberán presentar información —mes para los apartados A y B, trimestre calendario para el apartado C— será aquel en el que la SEFyC haya emitido el certificado de inscripción en el “Registro de Proveedores de Servicios de Pago que ofrecen cuentas de pago”.</w:t>
            </w:r>
            <w:r>
              <w:br/>
            </w:r>
            <w:r w:rsidRPr="275543A2">
              <w:rPr>
                <w:rFonts w:ascii="Aptos" w:eastAsia="Aptos" w:hAnsi="Aptos" w:cs="Aptos"/>
              </w:rPr>
              <w:t xml:space="preserve"> Si en dicho período solo se realizaron pruebas internas y no hubo operaciones reales, igualmente debe efectuarse la presentación, seleccionando la opción </w:t>
            </w:r>
            <w:r w:rsidRPr="275543A2">
              <w:rPr>
                <w:rFonts w:ascii="Aptos" w:eastAsia="Aptos" w:hAnsi="Aptos" w:cs="Aptos"/>
                <w:b/>
                <w:bCs/>
              </w:rPr>
              <w:t>"NO OPERA"</w:t>
            </w:r>
            <w:r w:rsidRPr="275543A2">
              <w:rPr>
                <w:rFonts w:ascii="Aptos" w:eastAsia="Aptos" w:hAnsi="Aptos" w:cs="Aptos"/>
              </w:rPr>
              <w:t xml:space="preserve"> en el régimen.</w:t>
            </w:r>
          </w:p>
          <w:p w14:paraId="1920D782" w14:textId="029D40F1" w:rsidR="275543A2" w:rsidRDefault="275543A2" w:rsidP="275543A2">
            <w:pPr>
              <w:rPr>
                <w:rFonts w:ascii="Aptos" w:eastAsia="Aptos" w:hAnsi="Aptos" w:cs="Aptos"/>
              </w:rPr>
            </w:pPr>
          </w:p>
          <w:p w14:paraId="7ACBF7F2" w14:textId="7714F870" w:rsidR="2F1DEDD1" w:rsidRDefault="2F1DEDD1" w:rsidP="275543A2">
            <w:pPr>
              <w:rPr>
                <w:rFonts w:ascii="Aptos" w:eastAsia="Aptos" w:hAnsi="Aptos" w:cs="Aptos"/>
                <w:highlight w:val="yellow"/>
              </w:rPr>
            </w:pPr>
            <w:r w:rsidRPr="275543A2">
              <w:rPr>
                <w:rFonts w:ascii="Aptos" w:eastAsia="Aptos" w:hAnsi="Aptos" w:cs="Aptos"/>
                <w:highlight w:val="yellow"/>
              </w:rPr>
              <w:t>En Adquirentes, hubo cambios, que se van a aplicar luego a estos PSP. Dice Diego que van a cambiar.</w:t>
            </w:r>
            <w:r w:rsidRPr="275543A2">
              <w:rPr>
                <w:rFonts w:ascii="Aptos" w:eastAsia="Aptos" w:hAnsi="Aptos" w:cs="Aptos"/>
              </w:rPr>
              <w:t xml:space="preserve"> </w:t>
            </w:r>
          </w:p>
        </w:tc>
      </w:tr>
      <w:tr w:rsidR="66779D14" w14:paraId="6F98412D" w14:textId="77777777" w:rsidTr="3157D90E">
        <w:trPr>
          <w:trHeight w:val="300"/>
        </w:trPr>
        <w:tc>
          <w:tcPr>
            <w:tcW w:w="4508" w:type="dxa"/>
          </w:tcPr>
          <w:p w14:paraId="5BD1724C" w14:textId="15266043" w:rsidR="66779D14" w:rsidRDefault="66779D14" w:rsidP="66779D14">
            <w:pPr>
              <w:spacing w:line="279" w:lineRule="auto"/>
              <w:rPr>
                <w:rFonts w:ascii="Aptos" w:eastAsia="Aptos" w:hAnsi="Aptos" w:cs="Aptos"/>
                <w:u w:val="single"/>
              </w:rPr>
            </w:pPr>
          </w:p>
        </w:tc>
        <w:tc>
          <w:tcPr>
            <w:tcW w:w="4508" w:type="dxa"/>
          </w:tcPr>
          <w:p w14:paraId="6F1C91EE" w14:textId="5A496F73" w:rsidR="2174FC14" w:rsidRDefault="2174FC14" w:rsidP="66779D14">
            <w:pPr>
              <w:rPr>
                <w:rFonts w:ascii="Aptos" w:eastAsia="Aptos" w:hAnsi="Aptos" w:cs="Aptos"/>
                <w:highlight w:val="green"/>
              </w:rPr>
            </w:pPr>
            <w:r w:rsidRPr="66779D14">
              <w:rPr>
                <w:rFonts w:ascii="Aptos" w:eastAsia="Aptos" w:hAnsi="Aptos" w:cs="Aptos"/>
                <w:highlight w:val="green"/>
              </w:rPr>
              <w:t xml:space="preserve">La empresa aún no comenzó a operar ya que está tramitando otras licencias y </w:t>
            </w:r>
            <w:r w:rsidRPr="66779D14">
              <w:rPr>
                <w:rFonts w:ascii="Aptos" w:eastAsia="Aptos" w:hAnsi="Aptos" w:cs="Aptos"/>
                <w:highlight w:val="green"/>
              </w:rPr>
              <w:lastRenderedPageBreak/>
              <w:t>autorizaciones. ¿Igualmente debemos realizar las presentaciones de los regímenes informativos?</w:t>
            </w:r>
            <w:r w:rsidRPr="66779D14">
              <w:rPr>
                <w:rFonts w:ascii="Aptos" w:eastAsia="Aptos" w:hAnsi="Aptos" w:cs="Aptos"/>
              </w:rPr>
              <w:t xml:space="preserve"> </w:t>
            </w:r>
          </w:p>
        </w:tc>
      </w:tr>
      <w:tr w:rsidR="66779D14" w14:paraId="0A906912" w14:textId="77777777" w:rsidTr="3157D90E">
        <w:trPr>
          <w:trHeight w:val="300"/>
        </w:trPr>
        <w:tc>
          <w:tcPr>
            <w:tcW w:w="4508" w:type="dxa"/>
          </w:tcPr>
          <w:p w14:paraId="7C69F417" w14:textId="1113F3D0" w:rsidR="66779D14" w:rsidRDefault="66779D14" w:rsidP="66779D14">
            <w:pPr>
              <w:spacing w:line="279" w:lineRule="auto"/>
              <w:rPr>
                <w:rFonts w:ascii="Aptos" w:eastAsia="Aptos" w:hAnsi="Aptos" w:cs="Aptos"/>
                <w:u w:val="single"/>
              </w:rPr>
            </w:pPr>
          </w:p>
        </w:tc>
        <w:tc>
          <w:tcPr>
            <w:tcW w:w="4508" w:type="dxa"/>
          </w:tcPr>
          <w:p w14:paraId="7EDB066F" w14:textId="14A1F850" w:rsidR="2174FC14" w:rsidRDefault="2174FC14" w:rsidP="66779D14">
            <w:pPr>
              <w:spacing w:before="240" w:after="240"/>
              <w:rPr>
                <w:rFonts w:ascii="Aptos" w:eastAsia="Aptos" w:hAnsi="Aptos" w:cs="Aptos"/>
              </w:rPr>
            </w:pPr>
            <w:commentRangeStart w:id="19"/>
            <w:r w:rsidRPr="66779D14">
              <w:rPr>
                <w:rFonts w:ascii="Aptos" w:eastAsia="Aptos" w:hAnsi="Aptos" w:cs="Aptos"/>
              </w:rPr>
              <w:t xml:space="preserve">Sí, las entidades deben efectuar las presentaciones aun cuando no hayan iniciado operaciones. En estos casos, se debe utilizar la opción </w:t>
            </w:r>
            <w:r w:rsidRPr="66779D14">
              <w:rPr>
                <w:rFonts w:ascii="Aptos" w:eastAsia="Aptos" w:hAnsi="Aptos" w:cs="Aptos"/>
                <w:b/>
                <w:bCs/>
              </w:rPr>
              <w:t>“NO OPERA”</w:t>
            </w:r>
            <w:r w:rsidRPr="66779D14">
              <w:rPr>
                <w:rFonts w:ascii="Aptos" w:eastAsia="Aptos" w:hAnsi="Aptos" w:cs="Aptos"/>
              </w:rPr>
              <w:t xml:space="preserve"> en los Regímenes Informativos que la admitan (según detalle de la normativa aplicable).</w:t>
            </w:r>
            <w:r>
              <w:br/>
            </w:r>
            <w:r w:rsidRPr="66779D14">
              <w:rPr>
                <w:rFonts w:ascii="Aptos" w:eastAsia="Aptos" w:hAnsi="Aptos" w:cs="Aptos"/>
              </w:rPr>
              <w:t xml:space="preserve"> La única excepción son los siguientes RI, que deben presentarse siempre de forma </w:t>
            </w:r>
            <w:r w:rsidRPr="66779D14">
              <w:rPr>
                <w:rFonts w:ascii="Aptos" w:eastAsia="Aptos" w:hAnsi="Aptos" w:cs="Aptos"/>
                <w:b/>
                <w:bCs/>
              </w:rPr>
              <w:t>NORMAL</w:t>
            </w:r>
            <w:r w:rsidRPr="66779D14">
              <w:rPr>
                <w:rFonts w:ascii="Aptos" w:eastAsia="Aptos" w:hAnsi="Aptos" w:cs="Aptos"/>
              </w:rPr>
              <w:t xml:space="preserve"> en formato PDF, aun cuando no exista operatoria:</w:t>
            </w:r>
          </w:p>
          <w:p w14:paraId="0E34C7A2" w14:textId="3473A679" w:rsidR="2174FC14" w:rsidRDefault="2174FC14" w:rsidP="66779D14">
            <w:pPr>
              <w:pStyle w:val="Prrafodelista"/>
              <w:numPr>
                <w:ilvl w:val="0"/>
                <w:numId w:val="6"/>
              </w:numPr>
              <w:spacing w:before="240" w:after="240"/>
              <w:rPr>
                <w:rFonts w:ascii="Aptos" w:eastAsia="Aptos" w:hAnsi="Aptos" w:cs="Aptos"/>
                <w:b/>
                <w:bCs/>
              </w:rPr>
            </w:pPr>
            <w:r w:rsidRPr="66779D14">
              <w:rPr>
                <w:rFonts w:ascii="Aptos" w:eastAsia="Aptos" w:hAnsi="Aptos" w:cs="Aptos"/>
                <w:b/>
                <w:bCs/>
              </w:rPr>
              <w:t>Proveedores de servicios de pago que ofrecen cuenta de pago – Apartado C</w:t>
            </w:r>
          </w:p>
          <w:p w14:paraId="76597903" w14:textId="2FE4FA51" w:rsidR="2174FC14" w:rsidRDefault="2174FC14" w:rsidP="66779D14">
            <w:pPr>
              <w:pStyle w:val="Prrafodelista"/>
              <w:numPr>
                <w:ilvl w:val="0"/>
                <w:numId w:val="6"/>
              </w:numPr>
              <w:spacing w:before="240" w:after="240"/>
              <w:rPr>
                <w:rFonts w:ascii="Aptos" w:eastAsia="Aptos" w:hAnsi="Aptos" w:cs="Aptos"/>
                <w:b/>
                <w:bCs/>
              </w:rPr>
            </w:pPr>
            <w:r w:rsidRPr="66779D14">
              <w:rPr>
                <w:rFonts w:ascii="Aptos" w:eastAsia="Aptos" w:hAnsi="Aptos" w:cs="Aptos"/>
                <w:b/>
                <w:bCs/>
              </w:rPr>
              <w:t>Transparencia Capítulo II – Comisiones Tarifario Completo – Apartado B</w:t>
            </w:r>
          </w:p>
          <w:p w14:paraId="2F6761CB" w14:textId="1E8021AA" w:rsidR="2174FC14" w:rsidRDefault="2174FC14" w:rsidP="66779D14">
            <w:pPr>
              <w:spacing w:before="240" w:after="240"/>
              <w:rPr>
                <w:rFonts w:ascii="Aptos" w:eastAsia="Aptos" w:hAnsi="Aptos" w:cs="Aptos"/>
              </w:rPr>
            </w:pPr>
            <w:r w:rsidRPr="66779D14">
              <w:rPr>
                <w:rFonts w:ascii="Aptos" w:eastAsia="Aptos" w:hAnsi="Aptos" w:cs="Aptos"/>
              </w:rPr>
              <w:t xml:space="preserve">Esto se encuentra previsto en las </w:t>
            </w:r>
            <w:r w:rsidRPr="66779D14">
              <w:rPr>
                <w:rFonts w:ascii="Aptos" w:eastAsia="Aptos" w:hAnsi="Aptos" w:cs="Aptos"/>
                <w:b/>
                <w:bCs/>
              </w:rPr>
              <w:t>Normas Generales de Presentación de Informaciones al BCRA.</w:t>
            </w:r>
            <w:commentRangeEnd w:id="19"/>
            <w:r>
              <w:rPr>
                <w:rStyle w:val="Refdecomentario"/>
                <w:rFonts w:ascii="Aptos" w:eastAsia="Aptos" w:hAnsi="Aptos" w:cs="Aptos"/>
                <w:sz w:val="24"/>
                <w:szCs w:val="24"/>
              </w:rPr>
              <w:commentReference w:id="19"/>
            </w:r>
          </w:p>
        </w:tc>
      </w:tr>
      <w:tr w:rsidR="409B4C76" w14:paraId="34644BE5" w14:textId="77777777" w:rsidTr="3157D90E">
        <w:trPr>
          <w:trHeight w:val="300"/>
        </w:trPr>
        <w:tc>
          <w:tcPr>
            <w:tcW w:w="4508" w:type="dxa"/>
          </w:tcPr>
          <w:p w14:paraId="79DA28D5" w14:textId="7CD88B62" w:rsidR="409B4C76" w:rsidRDefault="409B4C76" w:rsidP="409B4C76">
            <w:pPr>
              <w:spacing w:line="279" w:lineRule="auto"/>
              <w:rPr>
                <w:rFonts w:ascii="Aptos" w:eastAsia="Aptos" w:hAnsi="Aptos" w:cs="Aptos"/>
                <w:u w:val="single"/>
              </w:rPr>
            </w:pPr>
          </w:p>
        </w:tc>
        <w:tc>
          <w:tcPr>
            <w:tcW w:w="4508" w:type="dxa"/>
          </w:tcPr>
          <w:p w14:paraId="5943F9F4" w14:textId="0A2ECF5D" w:rsidR="4E34AD2E" w:rsidRDefault="4E34AD2E" w:rsidP="409B4C76">
            <w:pPr>
              <w:rPr>
                <w:rFonts w:ascii="Aptos" w:eastAsia="Aptos" w:hAnsi="Aptos" w:cs="Aptos"/>
                <w:highlight w:val="green"/>
              </w:rPr>
            </w:pPr>
            <w:commentRangeStart w:id="20"/>
            <w:r w:rsidRPr="409B4C76">
              <w:rPr>
                <w:rFonts w:ascii="Aptos" w:eastAsia="Aptos" w:hAnsi="Aptos" w:cs="Aptos"/>
                <w:highlight w:val="green"/>
              </w:rPr>
              <w:t xml:space="preserve">Comenzaremos a informar las partidas </w:t>
            </w:r>
            <w:r w:rsidRPr="409B4C76">
              <w:rPr>
                <w:rFonts w:ascii="Aptos" w:eastAsia="Aptos" w:hAnsi="Aptos" w:cs="Aptos"/>
                <w:b/>
                <w:bCs/>
                <w:highlight w:val="green"/>
              </w:rPr>
              <w:t>1020810</w:t>
            </w:r>
            <w:r w:rsidRPr="409B4C76">
              <w:rPr>
                <w:rFonts w:ascii="Aptos" w:eastAsia="Aptos" w:hAnsi="Aptos" w:cs="Aptos"/>
                <w:highlight w:val="green"/>
              </w:rPr>
              <w:t xml:space="preserve"> y </w:t>
            </w:r>
            <w:r w:rsidRPr="409B4C76">
              <w:rPr>
                <w:rFonts w:ascii="Aptos" w:eastAsia="Aptos" w:hAnsi="Aptos" w:cs="Aptos"/>
                <w:b/>
                <w:bCs/>
                <w:highlight w:val="green"/>
              </w:rPr>
              <w:t>2050100</w:t>
            </w:r>
            <w:r w:rsidRPr="409B4C76">
              <w:rPr>
                <w:rFonts w:ascii="Aptos" w:eastAsia="Aptos" w:hAnsi="Aptos" w:cs="Aptos"/>
                <w:highlight w:val="green"/>
              </w:rPr>
              <w:t xml:space="preserve">. En ambas, debemos incluir el campo “Esquema de pago” y observamos que en la operatoria se utilizan tanto el esquema </w:t>
            </w:r>
            <w:r w:rsidRPr="409B4C76">
              <w:rPr>
                <w:rFonts w:ascii="Aptos" w:eastAsia="Aptos" w:hAnsi="Aptos" w:cs="Aptos"/>
                <w:b/>
                <w:bCs/>
                <w:highlight w:val="green"/>
              </w:rPr>
              <w:t>00007</w:t>
            </w:r>
            <w:r w:rsidRPr="409B4C76">
              <w:rPr>
                <w:rFonts w:ascii="Aptos" w:eastAsia="Aptos" w:hAnsi="Aptos" w:cs="Aptos"/>
                <w:highlight w:val="green"/>
              </w:rPr>
              <w:t xml:space="preserve"> (transferencias bancarias desde/hacia C</w:t>
            </w:r>
            <w:r w:rsidR="443B4999" w:rsidRPr="409B4C76">
              <w:rPr>
                <w:rFonts w:ascii="Aptos" w:eastAsia="Aptos" w:hAnsi="Aptos" w:cs="Aptos"/>
                <w:highlight w:val="green"/>
              </w:rPr>
              <w:t>B</w:t>
            </w:r>
            <w:r w:rsidRPr="409B4C76">
              <w:rPr>
                <w:rFonts w:ascii="Aptos" w:eastAsia="Aptos" w:hAnsi="Aptos" w:cs="Aptos"/>
                <w:highlight w:val="green"/>
              </w:rPr>
              <w:t xml:space="preserve">U) como </w:t>
            </w:r>
            <w:r w:rsidRPr="409B4C76">
              <w:rPr>
                <w:rFonts w:ascii="Aptos" w:eastAsia="Aptos" w:hAnsi="Aptos" w:cs="Aptos"/>
                <w:b/>
                <w:bCs/>
                <w:highlight w:val="green"/>
              </w:rPr>
              <w:t>00008</w:t>
            </w:r>
            <w:r w:rsidRPr="409B4C76">
              <w:rPr>
                <w:rFonts w:ascii="Aptos" w:eastAsia="Aptos" w:hAnsi="Aptos" w:cs="Aptos"/>
                <w:highlight w:val="green"/>
              </w:rPr>
              <w:t xml:space="preserve"> (transferencias bancarias desde/hacia CVU). ¿Debemos reportar ambas líneas diferenciadas por esquema, o utilizar directamente el código </w:t>
            </w:r>
            <w:r w:rsidRPr="409B4C76">
              <w:rPr>
                <w:rFonts w:ascii="Aptos" w:eastAsia="Aptos" w:hAnsi="Aptos" w:cs="Aptos"/>
                <w:b/>
                <w:bCs/>
                <w:highlight w:val="green"/>
              </w:rPr>
              <w:t>00009</w:t>
            </w:r>
            <w:r w:rsidRPr="409B4C76">
              <w:rPr>
                <w:rFonts w:ascii="Aptos" w:eastAsia="Aptos" w:hAnsi="Aptos" w:cs="Aptos"/>
                <w:highlight w:val="green"/>
              </w:rPr>
              <w:t xml:space="preserve"> (esquema de pago propio) sin duplicar la partida?</w:t>
            </w:r>
            <w:commentRangeEnd w:id="20"/>
            <w:r>
              <w:rPr>
                <w:rStyle w:val="Refdecomentario"/>
                <w:rFonts w:ascii="Aptos" w:eastAsia="Aptos" w:hAnsi="Aptos" w:cs="Aptos"/>
                <w:sz w:val="24"/>
                <w:szCs w:val="24"/>
                <w:highlight w:val="green"/>
              </w:rPr>
              <w:commentReference w:id="20"/>
            </w:r>
          </w:p>
        </w:tc>
      </w:tr>
      <w:tr w:rsidR="409B4C76" w14:paraId="1349E361" w14:textId="77777777" w:rsidTr="3157D90E">
        <w:trPr>
          <w:trHeight w:val="300"/>
        </w:trPr>
        <w:tc>
          <w:tcPr>
            <w:tcW w:w="4508" w:type="dxa"/>
          </w:tcPr>
          <w:p w14:paraId="3597D990" w14:textId="53F825EA" w:rsidR="409B4C76" w:rsidRDefault="409B4C76" w:rsidP="409B4C76">
            <w:pPr>
              <w:spacing w:line="279" w:lineRule="auto"/>
              <w:rPr>
                <w:rFonts w:ascii="Aptos" w:eastAsia="Aptos" w:hAnsi="Aptos" w:cs="Aptos"/>
                <w:u w:val="single"/>
              </w:rPr>
            </w:pPr>
          </w:p>
        </w:tc>
        <w:tc>
          <w:tcPr>
            <w:tcW w:w="4508" w:type="dxa"/>
          </w:tcPr>
          <w:p w14:paraId="6ED3970C" w14:textId="5D589536" w:rsidR="141966E6" w:rsidRDefault="141966E6" w:rsidP="409B4C76">
            <w:pPr>
              <w:rPr>
                <w:rFonts w:ascii="Aptos" w:eastAsia="Aptos" w:hAnsi="Aptos" w:cs="Aptos"/>
              </w:rPr>
            </w:pPr>
            <w:commentRangeStart w:id="21"/>
            <w:r w:rsidRPr="07215D11">
              <w:rPr>
                <w:rFonts w:ascii="Aptos" w:eastAsia="Aptos" w:hAnsi="Aptos" w:cs="Aptos"/>
                <w:u w:val="single"/>
              </w:rPr>
              <w:t xml:space="preserve">Respuesta: </w:t>
            </w:r>
            <w:r w:rsidR="69BF4DC1" w:rsidRPr="07215D11">
              <w:rPr>
                <w:rFonts w:ascii="Aptos" w:eastAsia="Aptos" w:hAnsi="Aptos" w:cs="Aptos"/>
              </w:rPr>
              <w:t xml:space="preserve">De acuerdo con la definición </w:t>
            </w:r>
            <w:r w:rsidR="60CBEB30" w:rsidRPr="07215D11">
              <w:rPr>
                <w:rFonts w:ascii="Aptos" w:eastAsia="Aptos" w:hAnsi="Aptos" w:cs="Aptos"/>
              </w:rPr>
              <w:t>establecida en</w:t>
            </w:r>
            <w:r w:rsidR="69BF4DC1" w:rsidRPr="07215D11">
              <w:rPr>
                <w:rFonts w:ascii="Aptos" w:eastAsia="Aptos" w:hAnsi="Aptos" w:cs="Aptos"/>
              </w:rPr>
              <w:t xml:space="preserve"> las Normas de Procedimiento, si el método de iniciación para la información </w:t>
            </w:r>
            <w:r w:rsidR="69BF4DC1" w:rsidRPr="07215D11">
              <w:rPr>
                <w:rFonts w:ascii="Aptos" w:eastAsia="Aptos" w:hAnsi="Aptos" w:cs="Aptos"/>
                <w:b/>
                <w:bCs/>
              </w:rPr>
              <w:t>“Pagos recibidos en”</w:t>
            </w:r>
            <w:r w:rsidR="69BF4DC1" w:rsidRPr="07215D11">
              <w:rPr>
                <w:rFonts w:ascii="Aptos" w:eastAsia="Aptos" w:hAnsi="Aptos" w:cs="Aptos"/>
              </w:rPr>
              <w:t xml:space="preserve"> corresponde a la partida </w:t>
            </w:r>
            <w:r w:rsidR="69BF4DC1" w:rsidRPr="07215D11">
              <w:rPr>
                <w:rFonts w:ascii="Aptos" w:eastAsia="Aptos" w:hAnsi="Aptos" w:cs="Aptos"/>
                <w:b/>
                <w:bCs/>
              </w:rPr>
              <w:t>10208XX</w:t>
            </w:r>
            <w:r w:rsidR="69BF4DC1" w:rsidRPr="07215D11">
              <w:rPr>
                <w:rFonts w:ascii="Aptos" w:eastAsia="Aptos" w:hAnsi="Aptos" w:cs="Aptos"/>
              </w:rPr>
              <w:t xml:space="preserve"> (Sucursal/Agente/Comercio), ello constituye </w:t>
            </w:r>
            <w:r w:rsidR="699428DD" w:rsidRPr="07215D11">
              <w:rPr>
                <w:rFonts w:ascii="Aptos" w:eastAsia="Aptos" w:hAnsi="Aptos" w:cs="Aptos"/>
              </w:rPr>
              <w:t xml:space="preserve">un </w:t>
            </w:r>
            <w:r w:rsidR="69BF4DC1" w:rsidRPr="07215D11">
              <w:rPr>
                <w:rFonts w:ascii="Aptos" w:eastAsia="Aptos" w:hAnsi="Aptos" w:cs="Aptos"/>
                <w:b/>
                <w:bCs/>
              </w:rPr>
              <w:t>depósito en efectivo</w:t>
            </w:r>
            <w:r w:rsidR="2C68E269" w:rsidRPr="07215D11">
              <w:rPr>
                <w:rFonts w:ascii="Aptos" w:eastAsia="Aptos" w:hAnsi="Aptos" w:cs="Aptos"/>
                <w:b/>
                <w:bCs/>
              </w:rPr>
              <w:t xml:space="preserve"> o </w:t>
            </w:r>
            <w:r w:rsidR="333EC9C3" w:rsidRPr="07215D11">
              <w:rPr>
                <w:rFonts w:ascii="Aptos" w:eastAsia="Aptos" w:hAnsi="Aptos" w:cs="Aptos"/>
                <w:b/>
                <w:bCs/>
              </w:rPr>
              <w:t xml:space="preserve">una </w:t>
            </w:r>
            <w:r w:rsidR="38F4D092" w:rsidRPr="07215D11">
              <w:rPr>
                <w:rFonts w:ascii="Aptos" w:eastAsia="Aptos" w:hAnsi="Aptos" w:cs="Aptos"/>
                <w:b/>
                <w:bCs/>
              </w:rPr>
              <w:t>extracción</w:t>
            </w:r>
            <w:r w:rsidR="2C68E269" w:rsidRPr="07215D11">
              <w:rPr>
                <w:rFonts w:ascii="Aptos" w:eastAsia="Aptos" w:hAnsi="Aptos" w:cs="Aptos"/>
                <w:b/>
                <w:bCs/>
              </w:rPr>
              <w:t xml:space="preserve"> en comercios o extrabancarias</w:t>
            </w:r>
            <w:r w:rsidR="69BF4DC1" w:rsidRPr="07215D11">
              <w:rPr>
                <w:rFonts w:ascii="Aptos" w:eastAsia="Aptos" w:hAnsi="Aptos" w:cs="Aptos"/>
              </w:rPr>
              <w:t xml:space="preserve"> </w:t>
            </w:r>
            <w:r w:rsidR="6BE61EE7" w:rsidRPr="07215D11">
              <w:rPr>
                <w:rFonts w:ascii="Aptos" w:eastAsia="Aptos" w:hAnsi="Aptos" w:cs="Aptos"/>
              </w:rPr>
              <w:t xml:space="preserve"> </w:t>
            </w:r>
            <w:r w:rsidR="69BF4DC1" w:rsidRPr="07215D11">
              <w:rPr>
                <w:rFonts w:ascii="Aptos" w:eastAsia="Aptos" w:hAnsi="Aptos" w:cs="Aptos"/>
              </w:rPr>
              <w:t xml:space="preserve">acreditado en la cuenta </w:t>
            </w:r>
            <w:r w:rsidR="69BF4DC1" w:rsidRPr="07215D11">
              <w:rPr>
                <w:rFonts w:ascii="Aptos" w:eastAsia="Aptos" w:hAnsi="Aptos" w:cs="Aptos"/>
              </w:rPr>
              <w:lastRenderedPageBreak/>
              <w:t xml:space="preserve">de pago del cliente. Lo mismo aplica para la partida </w:t>
            </w:r>
            <w:r w:rsidR="69BF4DC1" w:rsidRPr="07215D11">
              <w:rPr>
                <w:rFonts w:ascii="Aptos" w:eastAsia="Aptos" w:hAnsi="Aptos" w:cs="Aptos"/>
                <w:b/>
                <w:bCs/>
              </w:rPr>
              <w:t>2050100</w:t>
            </w:r>
            <w:r w:rsidR="69BF4DC1" w:rsidRPr="07215D11">
              <w:rPr>
                <w:rFonts w:ascii="Aptos" w:eastAsia="Aptos" w:hAnsi="Aptos" w:cs="Aptos"/>
              </w:rPr>
              <w:t>, pero en sentido contrario.</w:t>
            </w:r>
            <w:r>
              <w:br/>
            </w:r>
            <w:r w:rsidR="51AD10B6" w:rsidRPr="07215D11">
              <w:rPr>
                <w:rFonts w:ascii="Aptos" w:eastAsia="Aptos" w:hAnsi="Aptos" w:cs="Aptos"/>
              </w:rPr>
              <w:t>En estos casos, e</w:t>
            </w:r>
            <w:r w:rsidR="69BF4DC1" w:rsidRPr="07215D11">
              <w:rPr>
                <w:rFonts w:ascii="Aptos" w:eastAsia="Aptos" w:hAnsi="Aptos" w:cs="Aptos"/>
              </w:rPr>
              <w:t xml:space="preserve">l </w:t>
            </w:r>
            <w:r w:rsidR="69BF4DC1" w:rsidRPr="07215D11">
              <w:rPr>
                <w:rFonts w:ascii="Aptos" w:eastAsia="Aptos" w:hAnsi="Aptos" w:cs="Aptos"/>
                <w:b/>
                <w:bCs/>
              </w:rPr>
              <w:t>medio de pago</w:t>
            </w:r>
            <w:r w:rsidR="69BF4DC1" w:rsidRPr="07215D11">
              <w:rPr>
                <w:rFonts w:ascii="Aptos" w:eastAsia="Aptos" w:hAnsi="Aptos" w:cs="Aptos"/>
              </w:rPr>
              <w:t xml:space="preserve"> </w:t>
            </w:r>
            <w:r w:rsidR="1F25B3B6" w:rsidRPr="07215D11">
              <w:rPr>
                <w:rFonts w:ascii="Aptos" w:eastAsia="Aptos" w:hAnsi="Aptos" w:cs="Aptos"/>
              </w:rPr>
              <w:t xml:space="preserve">a informar </w:t>
            </w:r>
            <w:r w:rsidR="69BF4DC1" w:rsidRPr="07215D11">
              <w:rPr>
                <w:rFonts w:ascii="Aptos" w:eastAsia="Aptos" w:hAnsi="Aptos" w:cs="Aptos"/>
              </w:rPr>
              <w:t xml:space="preserve">sería “Efectivo” y el </w:t>
            </w:r>
            <w:r w:rsidR="69BF4DC1" w:rsidRPr="07215D11">
              <w:rPr>
                <w:rFonts w:ascii="Aptos" w:eastAsia="Aptos" w:hAnsi="Aptos" w:cs="Aptos"/>
                <w:b/>
                <w:bCs/>
              </w:rPr>
              <w:t>esquema de pago</w:t>
            </w:r>
            <w:r w:rsidR="69BF4DC1" w:rsidRPr="07215D11">
              <w:rPr>
                <w:rFonts w:ascii="Aptos" w:eastAsia="Aptos" w:hAnsi="Aptos" w:cs="Aptos"/>
              </w:rPr>
              <w:t xml:space="preserve"> aplicable sería </w:t>
            </w:r>
            <w:r w:rsidR="69BF4DC1" w:rsidRPr="07215D11">
              <w:rPr>
                <w:rFonts w:ascii="Aptos" w:eastAsia="Aptos" w:hAnsi="Aptos" w:cs="Aptos"/>
                <w:b/>
                <w:bCs/>
              </w:rPr>
              <w:t>9 – “Esquema de pago propio”</w:t>
            </w:r>
            <w:r w:rsidR="69BF4DC1" w:rsidRPr="07215D11">
              <w:rPr>
                <w:rFonts w:ascii="Aptos" w:eastAsia="Aptos" w:hAnsi="Aptos" w:cs="Aptos"/>
              </w:rPr>
              <w:t>.</w:t>
            </w:r>
            <w:r w:rsidR="12F1A73D" w:rsidRPr="07215D11">
              <w:rPr>
                <w:rFonts w:ascii="Aptos" w:eastAsia="Aptos" w:hAnsi="Aptos" w:cs="Aptos"/>
              </w:rPr>
              <w:t xml:space="preserve"> </w:t>
            </w:r>
          </w:p>
          <w:p w14:paraId="3CA015E6" w14:textId="47E3C876" w:rsidR="12F1A73D" w:rsidRDefault="12F1A73D" w:rsidP="409B4C76">
            <w:pPr>
              <w:rPr>
                <w:rFonts w:ascii="Aptos" w:eastAsia="Aptos" w:hAnsi="Aptos" w:cs="Aptos"/>
                <w:color w:val="000000" w:themeColor="text1"/>
              </w:rPr>
            </w:pPr>
            <w:r w:rsidRPr="409B4C76">
              <w:rPr>
                <w:rFonts w:ascii="Aptos" w:eastAsia="Aptos" w:hAnsi="Aptos" w:cs="Aptos"/>
                <w:color w:val="000000" w:themeColor="text1"/>
              </w:rPr>
              <w:t xml:space="preserve">Las partidas </w:t>
            </w:r>
            <w:r w:rsidRPr="409B4C76">
              <w:rPr>
                <w:rFonts w:ascii="Aptos" w:eastAsia="Aptos" w:hAnsi="Aptos" w:cs="Aptos"/>
                <w:b/>
                <w:bCs/>
                <w:color w:val="000000" w:themeColor="text1"/>
              </w:rPr>
              <w:t>5001000 a 5004000</w:t>
            </w:r>
            <w:r w:rsidRPr="409B4C76">
              <w:rPr>
                <w:rFonts w:ascii="Aptos" w:eastAsia="Aptos" w:hAnsi="Aptos" w:cs="Aptos"/>
                <w:color w:val="000000" w:themeColor="text1"/>
              </w:rPr>
              <w:t xml:space="preserve"> no se informan</w:t>
            </w:r>
            <w:r w:rsidR="766DD3BB" w:rsidRPr="409B4C76">
              <w:rPr>
                <w:rFonts w:ascii="Aptos" w:eastAsia="Aptos" w:hAnsi="Aptos" w:cs="Aptos"/>
                <w:color w:val="000000" w:themeColor="text1"/>
              </w:rPr>
              <w:t>,</w:t>
            </w:r>
            <w:r w:rsidRPr="409B4C76">
              <w:rPr>
                <w:rFonts w:ascii="Aptos" w:eastAsia="Aptos" w:hAnsi="Aptos" w:cs="Aptos"/>
                <w:color w:val="000000" w:themeColor="text1"/>
              </w:rPr>
              <w:t xml:space="preserve"> d</w:t>
            </w:r>
            <w:r w:rsidR="7CF700A7" w:rsidRPr="409B4C76">
              <w:rPr>
                <w:rFonts w:ascii="Aptos" w:eastAsia="Aptos" w:hAnsi="Aptos" w:cs="Aptos"/>
                <w:color w:val="000000" w:themeColor="text1"/>
              </w:rPr>
              <w:t>ado</w:t>
            </w:r>
            <w:r w:rsidRPr="409B4C76">
              <w:rPr>
                <w:rFonts w:ascii="Aptos" w:eastAsia="Aptos" w:hAnsi="Aptos" w:cs="Aptos"/>
                <w:color w:val="000000" w:themeColor="text1"/>
              </w:rPr>
              <w:t xml:space="preserve"> que no </w:t>
            </w:r>
            <w:r w:rsidR="5EB2A3BC" w:rsidRPr="409B4C76">
              <w:rPr>
                <w:rFonts w:ascii="Aptos" w:eastAsia="Aptos" w:hAnsi="Aptos" w:cs="Aptos"/>
                <w:color w:val="000000" w:themeColor="text1"/>
              </w:rPr>
              <w:t>existe</w:t>
            </w:r>
            <w:r w:rsidRPr="409B4C76">
              <w:rPr>
                <w:rFonts w:ascii="Aptos" w:eastAsia="Aptos" w:hAnsi="Aptos" w:cs="Aptos"/>
                <w:color w:val="000000" w:themeColor="text1"/>
              </w:rPr>
              <w:t xml:space="preserve"> una transferencia involucrada.</w:t>
            </w:r>
            <w:commentRangeEnd w:id="21"/>
            <w:r>
              <w:rPr>
                <w:rStyle w:val="Refdecomentario"/>
                <w:rFonts w:ascii="Aptos" w:eastAsia="Aptos" w:hAnsi="Aptos" w:cs="Aptos"/>
                <w:color w:val="000000" w:themeColor="text1"/>
                <w:sz w:val="24"/>
                <w:szCs w:val="24"/>
              </w:rPr>
              <w:commentReference w:id="21"/>
            </w:r>
          </w:p>
        </w:tc>
      </w:tr>
      <w:tr w:rsidR="409B4C76" w14:paraId="4BA48995" w14:textId="77777777" w:rsidTr="3157D90E">
        <w:trPr>
          <w:trHeight w:val="300"/>
        </w:trPr>
        <w:tc>
          <w:tcPr>
            <w:tcW w:w="4508" w:type="dxa"/>
          </w:tcPr>
          <w:p w14:paraId="68F874A5" w14:textId="759C8CAD" w:rsidR="409B4C76" w:rsidRDefault="409B4C76" w:rsidP="409B4C76">
            <w:pPr>
              <w:spacing w:line="279" w:lineRule="auto"/>
              <w:rPr>
                <w:rFonts w:ascii="Aptos" w:eastAsia="Aptos" w:hAnsi="Aptos" w:cs="Aptos"/>
                <w:u w:val="single"/>
              </w:rPr>
            </w:pPr>
          </w:p>
        </w:tc>
        <w:tc>
          <w:tcPr>
            <w:tcW w:w="4508" w:type="dxa"/>
          </w:tcPr>
          <w:p w14:paraId="28BAB7A6" w14:textId="4258F290" w:rsidR="2AA55F19" w:rsidRDefault="2AA55F19" w:rsidP="409B4C76">
            <w:pPr>
              <w:rPr>
                <w:rFonts w:ascii="Aptos" w:eastAsia="Aptos" w:hAnsi="Aptos" w:cs="Aptos"/>
                <w:highlight w:val="green"/>
              </w:rPr>
            </w:pPr>
            <w:commentRangeStart w:id="22"/>
            <w:r w:rsidRPr="409B4C76">
              <w:rPr>
                <w:rFonts w:ascii="Aptos" w:eastAsia="Aptos" w:hAnsi="Aptos" w:cs="Aptos"/>
                <w:highlight w:val="green"/>
              </w:rPr>
              <w:t xml:space="preserve">En relación con las modificaciones establecidas por la Comunicación “A” 8208 (punto 69.1.5 – </w:t>
            </w:r>
            <w:r w:rsidRPr="409B4C76">
              <w:rPr>
                <w:rFonts w:ascii="Aptos" w:eastAsia="Aptos" w:hAnsi="Aptos" w:cs="Aptos"/>
                <w:i/>
                <w:iCs/>
                <w:highlight w:val="green"/>
              </w:rPr>
              <w:t>Reporte de alerta</w:t>
            </w:r>
            <w:r w:rsidRPr="409B4C76">
              <w:rPr>
                <w:rFonts w:ascii="Aptos" w:eastAsia="Aptos" w:hAnsi="Aptos" w:cs="Aptos"/>
                <w:highlight w:val="green"/>
              </w:rPr>
              <w:t xml:space="preserve">), que dispone el control de que el saldo informado en la partida </w:t>
            </w:r>
            <w:r w:rsidRPr="409B4C76">
              <w:rPr>
                <w:rFonts w:ascii="Aptos" w:eastAsia="Aptos" w:hAnsi="Aptos" w:cs="Aptos"/>
                <w:b/>
                <w:bCs/>
                <w:highlight w:val="green"/>
              </w:rPr>
              <w:t>10000dd</w:t>
            </w:r>
            <w:r w:rsidRPr="409B4C76">
              <w:rPr>
                <w:rFonts w:ascii="Aptos" w:eastAsia="Aptos" w:hAnsi="Aptos" w:cs="Aptos"/>
                <w:highlight w:val="green"/>
              </w:rPr>
              <w:t xml:space="preserve"> al último día del mes coincida con el calculado por el BCRA conforme la fórmula:                                                                     Partida 10000ddn = 10000dd(n-1) + Apartado B (∑10XXXXXn - ∑20XXXXXn)         ¿Cómo deben reportarse, dentro del Apartado B, las transferencias desde y hacia CBU/CVU en aquellos casos en los que la operatoria de la entidad no encuadra claramente en las partidas 10XXXXX o 20XXXXX, a fin de que el control no arroje diferencias?</w:t>
            </w:r>
            <w:commentRangeEnd w:id="22"/>
            <w:r>
              <w:rPr>
                <w:rStyle w:val="Refdecomentario"/>
                <w:rFonts w:ascii="Aptos" w:eastAsia="Aptos" w:hAnsi="Aptos" w:cs="Aptos"/>
                <w:sz w:val="24"/>
                <w:szCs w:val="24"/>
                <w:highlight w:val="green"/>
              </w:rPr>
              <w:commentReference w:id="22"/>
            </w:r>
          </w:p>
        </w:tc>
      </w:tr>
      <w:tr w:rsidR="409B4C76" w14:paraId="24EB0304" w14:textId="77777777" w:rsidTr="3157D90E">
        <w:trPr>
          <w:trHeight w:val="300"/>
        </w:trPr>
        <w:tc>
          <w:tcPr>
            <w:tcW w:w="4508" w:type="dxa"/>
          </w:tcPr>
          <w:p w14:paraId="498D44F4" w14:textId="004443DB" w:rsidR="409B4C76" w:rsidRDefault="409B4C76" w:rsidP="409B4C76">
            <w:pPr>
              <w:spacing w:line="279" w:lineRule="auto"/>
              <w:rPr>
                <w:rFonts w:ascii="Aptos" w:eastAsia="Aptos" w:hAnsi="Aptos" w:cs="Aptos"/>
                <w:u w:val="single"/>
              </w:rPr>
            </w:pPr>
          </w:p>
        </w:tc>
        <w:tc>
          <w:tcPr>
            <w:tcW w:w="4508" w:type="dxa"/>
          </w:tcPr>
          <w:p w14:paraId="26D90300" w14:textId="7DD36D08" w:rsidR="1AC58842" w:rsidRDefault="1AC58842" w:rsidP="409B4C76">
            <w:pPr>
              <w:rPr>
                <w:rFonts w:ascii="Aptos" w:eastAsia="Aptos" w:hAnsi="Aptos" w:cs="Aptos"/>
              </w:rPr>
            </w:pPr>
            <w:commentRangeStart w:id="23"/>
            <w:r w:rsidRPr="409B4C76">
              <w:rPr>
                <w:rFonts w:ascii="Aptos" w:eastAsia="Aptos" w:hAnsi="Aptos" w:cs="Aptos"/>
                <w:u w:val="single"/>
              </w:rPr>
              <w:t>Respuesta:</w:t>
            </w:r>
            <w:r w:rsidRPr="409B4C76">
              <w:rPr>
                <w:rFonts w:ascii="Aptos" w:eastAsia="Aptos" w:hAnsi="Aptos" w:cs="Aptos"/>
              </w:rPr>
              <w:t xml:space="preserve"> Cuando se realicen transferencias con CVU, deben incluirse tanto en las partidas </w:t>
            </w:r>
            <w:r w:rsidRPr="409B4C76">
              <w:rPr>
                <w:rFonts w:ascii="Aptos" w:eastAsia="Aptos" w:hAnsi="Aptos" w:cs="Aptos"/>
                <w:b/>
                <w:bCs/>
              </w:rPr>
              <w:t>500XXXX</w:t>
            </w:r>
            <w:r w:rsidRPr="409B4C76">
              <w:rPr>
                <w:rFonts w:ascii="Aptos" w:eastAsia="Aptos" w:hAnsi="Aptos" w:cs="Aptos"/>
              </w:rPr>
              <w:t xml:space="preserve"> como en las de créditos (</w:t>
            </w:r>
            <w:r w:rsidRPr="409B4C76">
              <w:rPr>
                <w:rFonts w:ascii="Aptos" w:eastAsia="Aptos" w:hAnsi="Aptos" w:cs="Aptos"/>
                <w:b/>
                <w:bCs/>
              </w:rPr>
              <w:t>10XXXXX</w:t>
            </w:r>
            <w:r w:rsidRPr="409B4C76">
              <w:rPr>
                <w:rFonts w:ascii="Aptos" w:eastAsia="Aptos" w:hAnsi="Aptos" w:cs="Aptos"/>
              </w:rPr>
              <w:t>) y débitos (</w:t>
            </w:r>
            <w:r w:rsidRPr="409B4C76">
              <w:rPr>
                <w:rFonts w:ascii="Aptos" w:eastAsia="Aptos" w:hAnsi="Aptos" w:cs="Aptos"/>
                <w:b/>
                <w:bCs/>
              </w:rPr>
              <w:t>20XXXXX</w:t>
            </w:r>
            <w:r w:rsidRPr="409B4C76">
              <w:rPr>
                <w:rFonts w:ascii="Aptos" w:eastAsia="Aptos" w:hAnsi="Aptos" w:cs="Aptos"/>
              </w:rPr>
              <w:t>) correspondientes, según el método de iniciación, medio y esquema de pago, y el tipo de cuenta acreditada.</w:t>
            </w:r>
          </w:p>
          <w:p w14:paraId="07E4A5ED" w14:textId="03CB43AF" w:rsidR="1AC58842" w:rsidRDefault="1AC58842" w:rsidP="409B4C76">
            <w:pPr>
              <w:rPr>
                <w:rFonts w:ascii="Aptos" w:eastAsia="Aptos" w:hAnsi="Aptos" w:cs="Aptos"/>
              </w:rPr>
            </w:pPr>
            <w:r w:rsidRPr="409B4C76">
              <w:rPr>
                <w:rFonts w:ascii="Aptos" w:eastAsia="Aptos" w:hAnsi="Aptos" w:cs="Aptos"/>
              </w:rPr>
              <w:t xml:space="preserve">En el caso de transferencias acreditadas, si no se conoce el método de iniciación, pueden utilizarse las partidas </w:t>
            </w:r>
            <w:r w:rsidRPr="409B4C76">
              <w:rPr>
                <w:rFonts w:ascii="Aptos" w:eastAsia="Aptos" w:hAnsi="Aptos" w:cs="Aptos"/>
                <w:b/>
                <w:bCs/>
              </w:rPr>
              <w:t>10199XX</w:t>
            </w:r>
            <w:r w:rsidRPr="409B4C76">
              <w:rPr>
                <w:rFonts w:ascii="Aptos" w:eastAsia="Aptos" w:hAnsi="Aptos" w:cs="Aptos"/>
              </w:rPr>
              <w:t xml:space="preserve"> o </w:t>
            </w:r>
            <w:r w:rsidRPr="409B4C76">
              <w:rPr>
                <w:rFonts w:ascii="Aptos" w:eastAsia="Aptos" w:hAnsi="Aptos" w:cs="Aptos"/>
                <w:b/>
                <w:bCs/>
              </w:rPr>
              <w:t>10299XX</w:t>
            </w:r>
            <w:r w:rsidRPr="409B4C76">
              <w:rPr>
                <w:rFonts w:ascii="Aptos" w:eastAsia="Aptos" w:hAnsi="Aptos" w:cs="Aptos"/>
              </w:rPr>
              <w:t>.</w:t>
            </w:r>
            <w:r>
              <w:br/>
            </w:r>
            <w:r w:rsidRPr="409B4C76">
              <w:rPr>
                <w:rFonts w:ascii="Aptos" w:eastAsia="Aptos" w:hAnsi="Aptos" w:cs="Aptos"/>
              </w:rPr>
              <w:t xml:space="preserve"> En el caso de transferencias enviadas (débito), se debe conocer el método de iniciación y utilizar alguna de las partidas en las que los fondos se acreditan en algún tipo de cuenta (</w:t>
            </w:r>
            <w:r w:rsidRPr="409B4C76">
              <w:rPr>
                <w:rFonts w:ascii="Aptos" w:eastAsia="Aptos" w:hAnsi="Aptos" w:cs="Aptos"/>
                <w:b/>
                <w:bCs/>
              </w:rPr>
              <w:t>2010XXX</w:t>
            </w:r>
            <w:r w:rsidRPr="409B4C76">
              <w:rPr>
                <w:rFonts w:ascii="Aptos" w:eastAsia="Aptos" w:hAnsi="Aptos" w:cs="Aptos"/>
              </w:rPr>
              <w:t xml:space="preserve">, </w:t>
            </w:r>
            <w:r w:rsidRPr="409B4C76">
              <w:rPr>
                <w:rFonts w:ascii="Aptos" w:eastAsia="Aptos" w:hAnsi="Aptos" w:cs="Aptos"/>
                <w:b/>
                <w:bCs/>
              </w:rPr>
              <w:t>2020XXX</w:t>
            </w:r>
            <w:r w:rsidRPr="409B4C76">
              <w:rPr>
                <w:rFonts w:ascii="Aptos" w:eastAsia="Aptos" w:hAnsi="Aptos" w:cs="Aptos"/>
              </w:rPr>
              <w:t xml:space="preserve">, </w:t>
            </w:r>
            <w:r w:rsidRPr="409B4C76">
              <w:rPr>
                <w:rFonts w:ascii="Aptos" w:eastAsia="Aptos" w:hAnsi="Aptos" w:cs="Aptos"/>
                <w:b/>
                <w:bCs/>
              </w:rPr>
              <w:t>2030XXX</w:t>
            </w:r>
            <w:r w:rsidRPr="409B4C76">
              <w:rPr>
                <w:rFonts w:ascii="Aptos" w:eastAsia="Aptos" w:hAnsi="Aptos" w:cs="Aptos"/>
              </w:rPr>
              <w:t xml:space="preserve">, </w:t>
            </w:r>
            <w:r w:rsidRPr="409B4C76">
              <w:rPr>
                <w:rFonts w:ascii="Aptos" w:eastAsia="Aptos" w:hAnsi="Aptos" w:cs="Aptos"/>
                <w:b/>
                <w:bCs/>
              </w:rPr>
              <w:t>2040XXX</w:t>
            </w:r>
            <w:r w:rsidRPr="409B4C76">
              <w:rPr>
                <w:rFonts w:ascii="Aptos" w:eastAsia="Aptos" w:hAnsi="Aptos" w:cs="Aptos"/>
              </w:rPr>
              <w:t>).</w:t>
            </w:r>
            <w:commentRangeEnd w:id="23"/>
            <w:r>
              <w:rPr>
                <w:rStyle w:val="Refdecomentario"/>
                <w:rFonts w:ascii="Aptos" w:eastAsia="Aptos" w:hAnsi="Aptos" w:cs="Aptos"/>
                <w:sz w:val="24"/>
                <w:szCs w:val="24"/>
              </w:rPr>
              <w:commentReference w:id="23"/>
            </w:r>
          </w:p>
          <w:p w14:paraId="203F0FA5" w14:textId="3EF80FB4" w:rsidR="409B4C76" w:rsidRDefault="409B4C76" w:rsidP="409B4C76">
            <w:pPr>
              <w:rPr>
                <w:rFonts w:ascii="Aptos" w:eastAsia="Aptos" w:hAnsi="Aptos" w:cs="Aptos"/>
                <w:u w:val="single"/>
              </w:rPr>
            </w:pPr>
          </w:p>
        </w:tc>
      </w:tr>
      <w:tr w:rsidR="409B4C76" w14:paraId="15840121" w14:textId="77777777" w:rsidTr="3157D90E">
        <w:trPr>
          <w:trHeight w:val="300"/>
        </w:trPr>
        <w:tc>
          <w:tcPr>
            <w:tcW w:w="4508" w:type="dxa"/>
          </w:tcPr>
          <w:p w14:paraId="0C1E21CD" w14:textId="172F731E" w:rsidR="409B4C76" w:rsidRDefault="409B4C76" w:rsidP="409B4C76">
            <w:pPr>
              <w:spacing w:line="279" w:lineRule="auto"/>
              <w:rPr>
                <w:rFonts w:ascii="Aptos" w:eastAsia="Aptos" w:hAnsi="Aptos" w:cs="Aptos"/>
                <w:u w:val="single"/>
              </w:rPr>
            </w:pPr>
          </w:p>
        </w:tc>
        <w:tc>
          <w:tcPr>
            <w:tcW w:w="4508" w:type="dxa"/>
          </w:tcPr>
          <w:p w14:paraId="0854E019" w14:textId="75B41191" w:rsidR="5A2A5BF8" w:rsidRDefault="5A2A5BF8" w:rsidP="409B4C76">
            <w:pPr>
              <w:rPr>
                <w:rFonts w:ascii="Aptos" w:eastAsia="Aptos" w:hAnsi="Aptos" w:cs="Aptos"/>
                <w:highlight w:val="green"/>
              </w:rPr>
            </w:pPr>
            <w:commentRangeStart w:id="24"/>
            <w:r w:rsidRPr="409B4C76">
              <w:rPr>
                <w:rFonts w:ascii="Aptos" w:eastAsia="Aptos" w:hAnsi="Aptos" w:cs="Aptos"/>
                <w:highlight w:val="green"/>
              </w:rPr>
              <w:t xml:space="preserve">En el marco del reporte del </w:t>
            </w:r>
            <w:r w:rsidRPr="409B4C76">
              <w:rPr>
                <w:rFonts w:ascii="Aptos" w:eastAsia="Aptos" w:hAnsi="Aptos" w:cs="Aptos"/>
                <w:i/>
                <w:iCs/>
                <w:highlight w:val="green"/>
              </w:rPr>
              <w:t>Apartado B – Información Estadística</w:t>
            </w:r>
            <w:r w:rsidRPr="409B4C76">
              <w:rPr>
                <w:rFonts w:ascii="Aptos" w:eastAsia="Aptos" w:hAnsi="Aptos" w:cs="Aptos"/>
                <w:highlight w:val="green"/>
              </w:rPr>
              <w:t xml:space="preserve">, ¿cómo debe </w:t>
            </w:r>
            <w:r w:rsidRPr="409B4C76">
              <w:rPr>
                <w:rFonts w:ascii="Aptos" w:eastAsia="Aptos" w:hAnsi="Aptos" w:cs="Aptos"/>
                <w:highlight w:val="green"/>
              </w:rPr>
              <w:lastRenderedPageBreak/>
              <w:t xml:space="preserve">identificarse el </w:t>
            </w:r>
            <w:r w:rsidRPr="409B4C76">
              <w:rPr>
                <w:rFonts w:ascii="Aptos" w:eastAsia="Aptos" w:hAnsi="Aptos" w:cs="Aptos"/>
                <w:b/>
                <w:bCs/>
                <w:highlight w:val="green"/>
              </w:rPr>
              <w:t>método de iniciación</w:t>
            </w:r>
            <w:r w:rsidRPr="409B4C76">
              <w:rPr>
                <w:rFonts w:ascii="Aptos" w:eastAsia="Aptos" w:hAnsi="Aptos" w:cs="Aptos"/>
                <w:highlight w:val="green"/>
              </w:rPr>
              <w:t xml:space="preserve"> en transferencias enviadas (</w:t>
            </w:r>
            <w:r w:rsidRPr="409B4C76">
              <w:rPr>
                <w:rFonts w:ascii="Aptos" w:eastAsia="Aptos" w:hAnsi="Aptos" w:cs="Aptos"/>
                <w:i/>
                <w:iCs/>
                <w:highlight w:val="green"/>
              </w:rPr>
              <w:t>débito</w:t>
            </w:r>
            <w:r w:rsidRPr="409B4C76">
              <w:rPr>
                <w:rFonts w:ascii="Aptos" w:eastAsia="Aptos" w:hAnsi="Aptos" w:cs="Aptos"/>
                <w:highlight w:val="green"/>
              </w:rPr>
              <w:t xml:space="preserve">) cuando la operatoria consiste en que el cliente ordenante ingresa un CBU/CVU/Alias y un monto para realizar una transferencia </w:t>
            </w:r>
            <w:r w:rsidRPr="409B4C76">
              <w:rPr>
                <w:rFonts w:ascii="Aptos" w:eastAsia="Aptos" w:hAnsi="Aptos" w:cs="Aptos"/>
                <w:i/>
                <w:iCs/>
                <w:highlight w:val="green"/>
              </w:rPr>
              <w:t>push</w:t>
            </w:r>
            <w:r w:rsidRPr="409B4C76">
              <w:rPr>
                <w:rFonts w:ascii="Aptos" w:eastAsia="Aptos" w:hAnsi="Aptos" w:cs="Aptos"/>
                <w:highlight w:val="green"/>
              </w:rPr>
              <w:t>, y esta forma no encuadra claramente en los ejemplos descriptos en las tablas de métodos (p. ej., pagos por botón de pago)?</w:t>
            </w:r>
            <w:commentRangeEnd w:id="24"/>
            <w:r>
              <w:rPr>
                <w:rStyle w:val="Refdecomentario"/>
                <w:rFonts w:ascii="Aptos" w:eastAsia="Aptos" w:hAnsi="Aptos" w:cs="Aptos"/>
                <w:sz w:val="24"/>
                <w:szCs w:val="24"/>
                <w:highlight w:val="green"/>
              </w:rPr>
              <w:commentReference w:id="24"/>
            </w:r>
          </w:p>
        </w:tc>
      </w:tr>
      <w:tr w:rsidR="409B4C76" w14:paraId="4492CF78" w14:textId="77777777" w:rsidTr="3157D90E">
        <w:trPr>
          <w:trHeight w:val="300"/>
        </w:trPr>
        <w:tc>
          <w:tcPr>
            <w:tcW w:w="4508" w:type="dxa"/>
          </w:tcPr>
          <w:p w14:paraId="49E3EB1B" w14:textId="2C69A442" w:rsidR="409B4C76" w:rsidRDefault="409B4C76" w:rsidP="409B4C76">
            <w:pPr>
              <w:spacing w:line="279" w:lineRule="auto"/>
              <w:rPr>
                <w:rFonts w:ascii="Aptos" w:eastAsia="Aptos" w:hAnsi="Aptos" w:cs="Aptos"/>
                <w:u w:val="single"/>
              </w:rPr>
            </w:pPr>
          </w:p>
        </w:tc>
        <w:tc>
          <w:tcPr>
            <w:tcW w:w="4508" w:type="dxa"/>
          </w:tcPr>
          <w:p w14:paraId="68D1DFF7" w14:textId="28A0F32D" w:rsidR="5A2A5BF8" w:rsidRDefault="5A2A5BF8" w:rsidP="409B4C76">
            <w:pPr>
              <w:rPr>
                <w:rFonts w:ascii="Aptos" w:eastAsia="Aptos" w:hAnsi="Aptos" w:cs="Aptos"/>
              </w:rPr>
            </w:pPr>
            <w:commentRangeStart w:id="25"/>
            <w:r w:rsidRPr="409B4C76">
              <w:rPr>
                <w:rFonts w:ascii="Aptos" w:eastAsia="Aptos" w:hAnsi="Aptos" w:cs="Aptos"/>
                <w:u w:val="single"/>
              </w:rPr>
              <w:t>Respuesta:</w:t>
            </w:r>
            <w:r w:rsidRPr="409B4C76">
              <w:rPr>
                <w:rFonts w:ascii="Aptos" w:eastAsia="Aptos" w:hAnsi="Aptos" w:cs="Aptos"/>
                <w:b/>
                <w:bCs/>
              </w:rPr>
              <w:t xml:space="preserve"> Método de iniciación en débitos:</w:t>
            </w:r>
            <w:r w:rsidRPr="409B4C76">
              <w:rPr>
                <w:rFonts w:ascii="Aptos" w:eastAsia="Aptos" w:hAnsi="Aptos" w:cs="Aptos"/>
              </w:rPr>
              <w:t xml:space="preserve"> De acuerdo con las definiciones vigentes, si la operación implica que el cliente ordenante ingresa a una aplicación o sitio web del PSPCP para efectuar la transferencia, el método de iniciación podrá corresponder a:</w:t>
            </w:r>
          </w:p>
          <w:p w14:paraId="6416BC0D" w14:textId="7A252828" w:rsidR="5A2A5BF8" w:rsidRDefault="5A2A5BF8" w:rsidP="409B4C76">
            <w:pPr>
              <w:numPr>
                <w:ilvl w:val="0"/>
                <w:numId w:val="10"/>
              </w:numPr>
              <w:rPr>
                <w:rFonts w:ascii="Aptos" w:eastAsia="Aptos" w:hAnsi="Aptos" w:cs="Aptos"/>
              </w:rPr>
            </w:pPr>
            <w:r w:rsidRPr="409B4C76">
              <w:rPr>
                <w:rFonts w:ascii="Aptos" w:eastAsia="Aptos" w:hAnsi="Aptos" w:cs="Aptos"/>
                <w:i/>
                <w:iCs/>
              </w:rPr>
              <w:t>ApMovil – Botón de pago</w:t>
            </w:r>
            <w:r w:rsidRPr="409B4C76">
              <w:rPr>
                <w:rFonts w:ascii="Aptos" w:eastAsia="Aptos" w:hAnsi="Aptos" w:cs="Aptos"/>
              </w:rPr>
              <w:t>: cuando se realiza desde una aplicación móvil.</w:t>
            </w:r>
          </w:p>
          <w:p w14:paraId="33141718" w14:textId="45D448FB" w:rsidR="5A2A5BF8" w:rsidRDefault="5A2A5BF8" w:rsidP="409B4C76">
            <w:pPr>
              <w:numPr>
                <w:ilvl w:val="0"/>
                <w:numId w:val="10"/>
              </w:numPr>
              <w:rPr>
                <w:rFonts w:ascii="Aptos" w:eastAsia="Aptos" w:hAnsi="Aptos" w:cs="Aptos"/>
              </w:rPr>
            </w:pPr>
            <w:r w:rsidRPr="409B4C76">
              <w:rPr>
                <w:rFonts w:ascii="Aptos" w:eastAsia="Aptos" w:hAnsi="Aptos" w:cs="Aptos"/>
                <w:i/>
                <w:iCs/>
              </w:rPr>
              <w:t>ApWeb – Botón de pago</w:t>
            </w:r>
            <w:r w:rsidRPr="409B4C76">
              <w:rPr>
                <w:rFonts w:ascii="Aptos" w:eastAsia="Aptos" w:hAnsi="Aptos" w:cs="Aptos"/>
              </w:rPr>
              <w:t>: cuando se realiza desde un sitio web.</w:t>
            </w:r>
            <w:r>
              <w:br/>
            </w:r>
            <w:r w:rsidRPr="409B4C76">
              <w:rPr>
                <w:rFonts w:ascii="Aptos" w:eastAsia="Aptos" w:hAnsi="Aptos" w:cs="Aptos"/>
              </w:rPr>
              <w:t xml:space="preserve"> La clasificación dependerá del canal efectivamente utilizado.</w:t>
            </w:r>
            <w:commentRangeEnd w:id="25"/>
            <w:r>
              <w:rPr>
                <w:rStyle w:val="Refdecomentario"/>
                <w:rFonts w:ascii="Aptos" w:eastAsia="Aptos" w:hAnsi="Aptos" w:cs="Aptos"/>
                <w:sz w:val="24"/>
                <w:szCs w:val="24"/>
              </w:rPr>
              <w:commentReference w:id="25"/>
            </w:r>
          </w:p>
          <w:p w14:paraId="2CD03B56" w14:textId="77C5E81D" w:rsidR="409B4C76" w:rsidRDefault="409B4C76" w:rsidP="409B4C76">
            <w:pPr>
              <w:rPr>
                <w:rFonts w:ascii="Aptos" w:eastAsia="Aptos" w:hAnsi="Aptos" w:cs="Aptos"/>
                <w:u w:val="single"/>
              </w:rPr>
            </w:pPr>
          </w:p>
        </w:tc>
      </w:tr>
      <w:tr w:rsidR="409B4C76" w14:paraId="552886D6" w14:textId="77777777" w:rsidTr="3157D90E">
        <w:trPr>
          <w:trHeight w:val="300"/>
        </w:trPr>
        <w:tc>
          <w:tcPr>
            <w:tcW w:w="4508" w:type="dxa"/>
          </w:tcPr>
          <w:p w14:paraId="74BAF058" w14:textId="4BC7D5D5" w:rsidR="409B4C76" w:rsidRDefault="409B4C76" w:rsidP="409B4C76">
            <w:pPr>
              <w:spacing w:line="279" w:lineRule="auto"/>
              <w:rPr>
                <w:rFonts w:ascii="Aptos" w:eastAsia="Aptos" w:hAnsi="Aptos" w:cs="Aptos"/>
                <w:u w:val="single"/>
              </w:rPr>
            </w:pPr>
          </w:p>
        </w:tc>
        <w:tc>
          <w:tcPr>
            <w:tcW w:w="4508" w:type="dxa"/>
          </w:tcPr>
          <w:p w14:paraId="663C7B7D" w14:textId="266822EE" w:rsidR="5A2A5BF8" w:rsidRDefault="5A2A5BF8" w:rsidP="409B4C76">
            <w:pPr>
              <w:rPr>
                <w:rFonts w:ascii="Aptos" w:eastAsia="Aptos" w:hAnsi="Aptos" w:cs="Aptos"/>
                <w:highlight w:val="green"/>
              </w:rPr>
            </w:pPr>
            <w:commentRangeStart w:id="26"/>
            <w:r w:rsidRPr="409B4C76">
              <w:rPr>
                <w:rFonts w:ascii="Aptos" w:eastAsia="Aptos" w:hAnsi="Aptos" w:cs="Aptos"/>
                <w:highlight w:val="green"/>
              </w:rPr>
              <w:t xml:space="preserve">En relación con el código </w:t>
            </w:r>
            <w:r w:rsidRPr="409B4C76">
              <w:rPr>
                <w:rFonts w:ascii="Aptos" w:eastAsia="Aptos" w:hAnsi="Aptos" w:cs="Aptos"/>
                <w:b/>
                <w:bCs/>
                <w:highlight w:val="green"/>
              </w:rPr>
              <w:t>5000</w:t>
            </w:r>
            <w:r w:rsidRPr="409B4C76">
              <w:rPr>
                <w:rFonts w:ascii="Aptos" w:eastAsia="Aptos" w:hAnsi="Aptos" w:cs="Aptos"/>
                <w:highlight w:val="green"/>
              </w:rPr>
              <w:t xml:space="preserve"> del Apartado B, ¿corresponde informar como transferencias las operaciones de </w:t>
            </w:r>
            <w:r w:rsidRPr="409B4C76">
              <w:rPr>
                <w:rFonts w:ascii="Aptos" w:eastAsia="Aptos" w:hAnsi="Aptos" w:cs="Aptos"/>
                <w:b/>
                <w:bCs/>
                <w:highlight w:val="green"/>
              </w:rPr>
              <w:t>suscripción y rescate</w:t>
            </w:r>
            <w:r w:rsidRPr="409B4C76">
              <w:rPr>
                <w:rFonts w:ascii="Aptos" w:eastAsia="Aptos" w:hAnsi="Aptos" w:cs="Aptos"/>
                <w:highlight w:val="green"/>
              </w:rPr>
              <w:t xml:space="preserve"> de fondos comunes de inversión (FCI) realizadas desde cuentas de pago?</w:t>
            </w:r>
            <w:commentRangeEnd w:id="26"/>
            <w:r>
              <w:rPr>
                <w:rStyle w:val="Refdecomentario"/>
                <w:rFonts w:ascii="Aptos" w:eastAsia="Aptos" w:hAnsi="Aptos" w:cs="Aptos"/>
                <w:sz w:val="24"/>
                <w:szCs w:val="24"/>
                <w:highlight w:val="green"/>
              </w:rPr>
              <w:commentReference w:id="26"/>
            </w:r>
          </w:p>
        </w:tc>
      </w:tr>
      <w:tr w:rsidR="409B4C76" w14:paraId="66F2D76F" w14:textId="77777777" w:rsidTr="3157D90E">
        <w:trPr>
          <w:trHeight w:val="300"/>
        </w:trPr>
        <w:tc>
          <w:tcPr>
            <w:tcW w:w="4508" w:type="dxa"/>
          </w:tcPr>
          <w:p w14:paraId="38959409" w14:textId="7D55F046" w:rsidR="409B4C76" w:rsidRDefault="409B4C76" w:rsidP="409B4C76">
            <w:pPr>
              <w:spacing w:line="279" w:lineRule="auto"/>
              <w:rPr>
                <w:rFonts w:ascii="Aptos" w:eastAsia="Aptos" w:hAnsi="Aptos" w:cs="Aptos"/>
                <w:u w:val="single"/>
              </w:rPr>
            </w:pPr>
          </w:p>
        </w:tc>
        <w:tc>
          <w:tcPr>
            <w:tcW w:w="4508" w:type="dxa"/>
          </w:tcPr>
          <w:p w14:paraId="103DFDC2" w14:textId="2EB9D16C" w:rsidR="5A2A5BF8" w:rsidRDefault="5A2A5BF8" w:rsidP="409B4C76">
            <w:pPr>
              <w:rPr>
                <w:rFonts w:ascii="Aptos" w:eastAsia="Aptos" w:hAnsi="Aptos" w:cs="Aptos"/>
              </w:rPr>
            </w:pPr>
            <w:commentRangeStart w:id="27"/>
            <w:r w:rsidRPr="409B4C76">
              <w:rPr>
                <w:rFonts w:ascii="Aptos" w:eastAsia="Aptos" w:hAnsi="Aptos" w:cs="Aptos"/>
                <w:u w:val="single"/>
              </w:rPr>
              <w:t>Respuesta:</w:t>
            </w:r>
            <w:r w:rsidRPr="409B4C76">
              <w:rPr>
                <w:rFonts w:ascii="Aptos" w:eastAsia="Aptos" w:hAnsi="Aptos" w:cs="Aptos"/>
                <w:b/>
                <w:bCs/>
              </w:rPr>
              <w:t xml:space="preserve"> Reporte de suscripciones y rescates en el código 5000:</w:t>
            </w:r>
            <w:r w:rsidRPr="409B4C76">
              <w:rPr>
                <w:rFonts w:ascii="Aptos" w:eastAsia="Aptos" w:hAnsi="Aptos" w:cs="Aptos"/>
              </w:rPr>
              <w:t xml:space="preserve"> Sí, corresponde informarlos siempre que se produzca un movimiento en la cuenta de pago, tanto por ingreso como por egreso de fondos hacia/desde la cuenta de inversión.</w:t>
            </w:r>
            <w:r>
              <w:br/>
            </w:r>
            <w:r w:rsidRPr="409B4C76">
              <w:rPr>
                <w:rFonts w:ascii="Aptos" w:eastAsia="Aptos" w:hAnsi="Aptos" w:cs="Aptos"/>
              </w:rPr>
              <w:t xml:space="preserve"> Si la operación se realiza utilizando la </w:t>
            </w:r>
            <w:r w:rsidRPr="409B4C76">
              <w:rPr>
                <w:rFonts w:ascii="Aptos" w:eastAsia="Aptos" w:hAnsi="Aptos" w:cs="Aptos"/>
                <w:b/>
                <w:bCs/>
              </w:rPr>
              <w:t>CVU del cliente</w:t>
            </w:r>
            <w:r w:rsidRPr="409B4C76">
              <w:rPr>
                <w:rFonts w:ascii="Aptos" w:eastAsia="Aptos" w:hAnsi="Aptos" w:cs="Aptos"/>
              </w:rPr>
              <w:t xml:space="preserve">, además de incluirla en el código 5000, debe también reportarse en las partidas </w:t>
            </w:r>
            <w:r w:rsidRPr="409B4C76">
              <w:rPr>
                <w:rFonts w:ascii="Aptos" w:eastAsia="Aptos" w:hAnsi="Aptos" w:cs="Aptos"/>
                <w:b/>
                <w:bCs/>
              </w:rPr>
              <w:t>500X000</w:t>
            </w:r>
            <w:r w:rsidRPr="409B4C76">
              <w:rPr>
                <w:rFonts w:ascii="Aptos" w:eastAsia="Aptos" w:hAnsi="Aptos" w:cs="Aptos"/>
              </w:rPr>
              <w:t xml:space="preserve"> (Transferencias) y en las partidas de créditos (</w:t>
            </w:r>
            <w:r w:rsidRPr="409B4C76">
              <w:rPr>
                <w:rFonts w:ascii="Aptos" w:eastAsia="Aptos" w:hAnsi="Aptos" w:cs="Aptos"/>
                <w:i/>
                <w:iCs/>
              </w:rPr>
              <w:t>10XXXXX</w:t>
            </w:r>
            <w:r w:rsidRPr="409B4C76">
              <w:rPr>
                <w:rFonts w:ascii="Aptos" w:eastAsia="Aptos" w:hAnsi="Aptos" w:cs="Aptos"/>
              </w:rPr>
              <w:t>) o débitos (</w:t>
            </w:r>
            <w:r w:rsidRPr="409B4C76">
              <w:rPr>
                <w:rFonts w:ascii="Aptos" w:eastAsia="Aptos" w:hAnsi="Aptos" w:cs="Aptos"/>
                <w:i/>
                <w:iCs/>
              </w:rPr>
              <w:t>20XXXXX</w:t>
            </w:r>
            <w:r w:rsidRPr="409B4C76">
              <w:rPr>
                <w:rFonts w:ascii="Aptos" w:eastAsia="Aptos" w:hAnsi="Aptos" w:cs="Aptos"/>
              </w:rPr>
              <w:t>) según corresponda, siguiendo las tablas de método, medio y esquema de pago.</w:t>
            </w:r>
            <w:commentRangeEnd w:id="27"/>
            <w:r>
              <w:rPr>
                <w:rStyle w:val="Refdecomentario"/>
                <w:rFonts w:ascii="Aptos" w:eastAsia="Aptos" w:hAnsi="Aptos" w:cs="Aptos"/>
                <w:sz w:val="24"/>
                <w:szCs w:val="24"/>
              </w:rPr>
              <w:commentReference w:id="27"/>
            </w:r>
          </w:p>
        </w:tc>
      </w:tr>
      <w:tr w:rsidR="409B4C76" w14:paraId="4CEEF68B" w14:textId="77777777" w:rsidTr="3157D90E">
        <w:trPr>
          <w:trHeight w:val="300"/>
        </w:trPr>
        <w:tc>
          <w:tcPr>
            <w:tcW w:w="4508" w:type="dxa"/>
          </w:tcPr>
          <w:p w14:paraId="25527C03" w14:textId="01945AD1" w:rsidR="409B4C76" w:rsidRDefault="409B4C76" w:rsidP="409B4C76">
            <w:pPr>
              <w:spacing w:line="279" w:lineRule="auto"/>
              <w:rPr>
                <w:rFonts w:ascii="Aptos" w:eastAsia="Aptos" w:hAnsi="Aptos" w:cs="Aptos"/>
                <w:u w:val="single"/>
              </w:rPr>
            </w:pPr>
          </w:p>
        </w:tc>
        <w:tc>
          <w:tcPr>
            <w:tcW w:w="4508" w:type="dxa"/>
          </w:tcPr>
          <w:p w14:paraId="017CBDD0" w14:textId="145C14B1" w:rsidR="68D56F5E" w:rsidRDefault="68D56F5E" w:rsidP="409B4C76">
            <w:pPr>
              <w:rPr>
                <w:rFonts w:ascii="Aptos" w:eastAsia="Aptos" w:hAnsi="Aptos" w:cs="Aptos"/>
                <w:highlight w:val="green"/>
              </w:rPr>
            </w:pPr>
            <w:commentRangeStart w:id="28"/>
            <w:r w:rsidRPr="409B4C76">
              <w:rPr>
                <w:rFonts w:ascii="Aptos" w:eastAsia="Aptos" w:hAnsi="Aptos" w:cs="Aptos"/>
                <w:highlight w:val="green"/>
              </w:rPr>
              <w:t xml:space="preserve">En el </w:t>
            </w:r>
            <w:r w:rsidRPr="409B4C76">
              <w:rPr>
                <w:rFonts w:ascii="Aptos" w:eastAsia="Aptos" w:hAnsi="Aptos" w:cs="Aptos"/>
                <w:i/>
                <w:iCs/>
                <w:highlight w:val="green"/>
              </w:rPr>
              <w:t>Apartado B – Información Estadística</w:t>
            </w:r>
            <w:r w:rsidRPr="409B4C76">
              <w:rPr>
                <w:rFonts w:ascii="Aptos" w:eastAsia="Aptos" w:hAnsi="Aptos" w:cs="Aptos"/>
                <w:highlight w:val="green"/>
              </w:rPr>
              <w:t xml:space="preserve">, dentro de “Créditos en” </w:t>
            </w:r>
            <w:r w:rsidRPr="409B4C76">
              <w:rPr>
                <w:rFonts w:ascii="Aptos" w:eastAsia="Aptos" w:hAnsi="Aptos" w:cs="Aptos"/>
                <w:highlight w:val="green"/>
              </w:rPr>
              <w:lastRenderedPageBreak/>
              <w:t xml:space="preserve">(punto III.2 – Modelo de información), cuando se informa el </w:t>
            </w:r>
            <w:r w:rsidRPr="409B4C76">
              <w:rPr>
                <w:rFonts w:ascii="Aptos" w:eastAsia="Aptos" w:hAnsi="Aptos" w:cs="Aptos"/>
                <w:b/>
                <w:bCs/>
                <w:highlight w:val="green"/>
              </w:rPr>
              <w:t>código 10 o 20</w:t>
            </w:r>
            <w:r w:rsidRPr="409B4C76">
              <w:rPr>
                <w:rFonts w:ascii="Aptos" w:eastAsia="Aptos" w:hAnsi="Aptos" w:cs="Aptos"/>
                <w:highlight w:val="green"/>
              </w:rPr>
              <w:t xml:space="preserve"> para identificar persona física (PF) o persona jurídica (PJ), ¿la clasificación debe corresponder al origen de la transferencia o al titular de la cuenta/billetera que recibe la acreditación?</w:t>
            </w:r>
            <w:commentRangeEnd w:id="28"/>
            <w:r>
              <w:rPr>
                <w:rStyle w:val="Refdecomentario"/>
                <w:rFonts w:ascii="Aptos" w:eastAsia="Aptos" w:hAnsi="Aptos" w:cs="Aptos"/>
                <w:sz w:val="24"/>
                <w:szCs w:val="24"/>
                <w:highlight w:val="green"/>
              </w:rPr>
              <w:commentReference w:id="28"/>
            </w:r>
          </w:p>
        </w:tc>
      </w:tr>
      <w:tr w:rsidR="409B4C76" w14:paraId="7F4F8922" w14:textId="77777777" w:rsidTr="3157D90E">
        <w:trPr>
          <w:trHeight w:val="300"/>
        </w:trPr>
        <w:tc>
          <w:tcPr>
            <w:tcW w:w="4508" w:type="dxa"/>
          </w:tcPr>
          <w:p w14:paraId="0FE6A725" w14:textId="005D90E2" w:rsidR="409B4C76" w:rsidRDefault="409B4C76" w:rsidP="409B4C76">
            <w:pPr>
              <w:spacing w:line="279" w:lineRule="auto"/>
              <w:rPr>
                <w:rFonts w:ascii="Aptos" w:eastAsia="Aptos" w:hAnsi="Aptos" w:cs="Aptos"/>
                <w:u w:val="single"/>
              </w:rPr>
            </w:pPr>
          </w:p>
        </w:tc>
        <w:tc>
          <w:tcPr>
            <w:tcW w:w="4508" w:type="dxa"/>
          </w:tcPr>
          <w:p w14:paraId="2AAFC594" w14:textId="593A8037" w:rsidR="68D56F5E" w:rsidRDefault="68D56F5E" w:rsidP="409B4C76">
            <w:pPr>
              <w:rPr>
                <w:rFonts w:ascii="Aptos" w:eastAsia="Aptos" w:hAnsi="Aptos" w:cs="Aptos"/>
              </w:rPr>
            </w:pPr>
            <w:commentRangeStart w:id="29"/>
            <w:r w:rsidRPr="409B4C76">
              <w:rPr>
                <w:rFonts w:ascii="Aptos" w:eastAsia="Aptos" w:hAnsi="Aptos" w:cs="Aptos"/>
              </w:rPr>
              <w:t xml:space="preserve">La clasificación </w:t>
            </w:r>
            <w:r w:rsidRPr="409B4C76">
              <w:rPr>
                <w:rFonts w:ascii="Aptos" w:eastAsia="Aptos" w:hAnsi="Aptos" w:cs="Aptos"/>
                <w:b/>
                <w:bCs/>
              </w:rPr>
              <w:t>PF/PJ</w:t>
            </w:r>
            <w:r w:rsidRPr="409B4C76">
              <w:rPr>
                <w:rFonts w:ascii="Aptos" w:eastAsia="Aptos" w:hAnsi="Aptos" w:cs="Aptos"/>
              </w:rPr>
              <w:t xml:space="preserve"> debe efectuarse según la condición del </w:t>
            </w:r>
            <w:r w:rsidRPr="409B4C76">
              <w:rPr>
                <w:rFonts w:ascii="Aptos" w:eastAsia="Aptos" w:hAnsi="Aptos" w:cs="Aptos"/>
                <w:b/>
                <w:bCs/>
              </w:rPr>
              <w:t>titular que recibe la acreditación</w:t>
            </w:r>
            <w:r w:rsidRPr="409B4C76">
              <w:rPr>
                <w:rFonts w:ascii="Aptos" w:eastAsia="Aptos" w:hAnsi="Aptos" w:cs="Aptos"/>
              </w:rPr>
              <w:t xml:space="preserve"> en su cuenta o billetera, independientemente de quién haya originado la transferencia.</w:t>
            </w:r>
            <w:commentRangeEnd w:id="29"/>
            <w:r>
              <w:rPr>
                <w:rStyle w:val="Refdecomentario"/>
                <w:rFonts w:ascii="Aptos" w:eastAsia="Aptos" w:hAnsi="Aptos" w:cs="Aptos"/>
                <w:sz w:val="24"/>
                <w:szCs w:val="24"/>
              </w:rPr>
              <w:commentReference w:id="29"/>
            </w:r>
          </w:p>
        </w:tc>
      </w:tr>
      <w:tr w:rsidR="409B4C76" w14:paraId="44838A46" w14:textId="77777777" w:rsidTr="3157D90E">
        <w:trPr>
          <w:trHeight w:val="300"/>
        </w:trPr>
        <w:tc>
          <w:tcPr>
            <w:tcW w:w="4508" w:type="dxa"/>
          </w:tcPr>
          <w:p w14:paraId="766F5D49" w14:textId="1D03CF60" w:rsidR="409B4C76" w:rsidRDefault="409B4C76" w:rsidP="409B4C76">
            <w:pPr>
              <w:spacing w:line="279" w:lineRule="auto"/>
              <w:rPr>
                <w:rFonts w:ascii="Aptos" w:eastAsia="Aptos" w:hAnsi="Aptos" w:cs="Aptos"/>
                <w:u w:val="single"/>
              </w:rPr>
            </w:pPr>
          </w:p>
        </w:tc>
        <w:tc>
          <w:tcPr>
            <w:tcW w:w="4508" w:type="dxa"/>
          </w:tcPr>
          <w:p w14:paraId="2789123E" w14:textId="541F2DCD" w:rsidR="5B87DB46" w:rsidRDefault="5B87DB46" w:rsidP="409B4C76">
            <w:pPr>
              <w:rPr>
                <w:rFonts w:ascii="Aptos" w:eastAsia="Aptos" w:hAnsi="Aptos" w:cs="Aptos"/>
                <w:highlight w:val="green"/>
              </w:rPr>
            </w:pPr>
            <w:commentRangeStart w:id="30"/>
            <w:r w:rsidRPr="409B4C76">
              <w:rPr>
                <w:rFonts w:ascii="Aptos" w:eastAsia="Aptos" w:hAnsi="Aptos" w:cs="Aptos"/>
                <w:highlight w:val="green"/>
              </w:rPr>
              <w:t xml:space="preserve">En el </w:t>
            </w:r>
            <w:r w:rsidRPr="409B4C76">
              <w:rPr>
                <w:rFonts w:ascii="Aptos" w:eastAsia="Aptos" w:hAnsi="Aptos" w:cs="Aptos"/>
                <w:i/>
                <w:iCs/>
                <w:highlight w:val="green"/>
              </w:rPr>
              <w:t>Apartado B</w:t>
            </w:r>
            <w:r w:rsidRPr="409B4C76">
              <w:rPr>
                <w:rFonts w:ascii="Aptos" w:eastAsia="Aptos" w:hAnsi="Aptos" w:cs="Aptos"/>
                <w:highlight w:val="green"/>
              </w:rPr>
              <w:t>, ¿es correcto informar como transferencias los adelantos de fondos que se acreditan a los usuarios antes de la liquidación definitiva?</w:t>
            </w:r>
            <w:commentRangeEnd w:id="30"/>
            <w:r>
              <w:rPr>
                <w:rStyle w:val="Refdecomentario"/>
                <w:rFonts w:ascii="Aptos" w:eastAsia="Aptos" w:hAnsi="Aptos" w:cs="Aptos"/>
                <w:sz w:val="24"/>
                <w:szCs w:val="24"/>
                <w:highlight w:val="green"/>
              </w:rPr>
              <w:commentReference w:id="30"/>
            </w:r>
          </w:p>
        </w:tc>
      </w:tr>
      <w:tr w:rsidR="409B4C76" w14:paraId="23800011" w14:textId="77777777" w:rsidTr="3157D90E">
        <w:trPr>
          <w:trHeight w:val="300"/>
        </w:trPr>
        <w:tc>
          <w:tcPr>
            <w:tcW w:w="4508" w:type="dxa"/>
          </w:tcPr>
          <w:p w14:paraId="0E6F1DDA" w14:textId="0A101750" w:rsidR="409B4C76" w:rsidRDefault="409B4C76" w:rsidP="409B4C76">
            <w:pPr>
              <w:spacing w:line="279" w:lineRule="auto"/>
              <w:rPr>
                <w:rFonts w:ascii="Aptos" w:eastAsia="Aptos" w:hAnsi="Aptos" w:cs="Aptos"/>
                <w:u w:val="single"/>
              </w:rPr>
            </w:pPr>
          </w:p>
        </w:tc>
        <w:tc>
          <w:tcPr>
            <w:tcW w:w="4508" w:type="dxa"/>
          </w:tcPr>
          <w:p w14:paraId="4FBCCCAC" w14:textId="7C471059" w:rsidR="5B87DB46" w:rsidRDefault="5B87DB46" w:rsidP="409B4C76">
            <w:pPr>
              <w:rPr>
                <w:rFonts w:ascii="Aptos" w:eastAsia="Aptos" w:hAnsi="Aptos" w:cs="Aptos"/>
              </w:rPr>
            </w:pPr>
            <w:commentRangeStart w:id="31"/>
            <w:r w:rsidRPr="409B4C76">
              <w:rPr>
                <w:rFonts w:ascii="Aptos" w:eastAsia="Aptos" w:hAnsi="Aptos" w:cs="Aptos"/>
              </w:rPr>
              <w:t xml:space="preserve">Sí, los adelantos deben informarse en el </w:t>
            </w:r>
            <w:r w:rsidRPr="409B4C76">
              <w:rPr>
                <w:rFonts w:ascii="Aptos" w:eastAsia="Aptos" w:hAnsi="Aptos" w:cs="Aptos"/>
                <w:i/>
                <w:iCs/>
              </w:rPr>
              <w:t>Apartado B</w:t>
            </w:r>
            <w:r w:rsidRPr="409B4C76">
              <w:rPr>
                <w:rFonts w:ascii="Aptos" w:eastAsia="Aptos" w:hAnsi="Aptos" w:cs="Aptos"/>
              </w:rPr>
              <w:t xml:space="preserve"> como transferencias desde una cuenta del PSP hacia la cuenta de pago del usuario.</w:t>
            </w:r>
            <w:commentRangeEnd w:id="31"/>
            <w:r>
              <w:rPr>
                <w:rStyle w:val="Refdecomentario"/>
                <w:rFonts w:ascii="Aptos" w:eastAsia="Aptos" w:hAnsi="Aptos" w:cs="Aptos"/>
                <w:sz w:val="24"/>
                <w:szCs w:val="24"/>
              </w:rPr>
              <w:commentReference w:id="31"/>
            </w:r>
          </w:p>
        </w:tc>
      </w:tr>
      <w:tr w:rsidR="409B4C76" w14:paraId="09AC44CF" w14:textId="77777777" w:rsidTr="3157D90E">
        <w:trPr>
          <w:trHeight w:val="300"/>
        </w:trPr>
        <w:tc>
          <w:tcPr>
            <w:tcW w:w="4508" w:type="dxa"/>
          </w:tcPr>
          <w:p w14:paraId="1650990F" w14:textId="554E2E95" w:rsidR="409B4C76" w:rsidRDefault="409B4C76" w:rsidP="409B4C76">
            <w:pPr>
              <w:spacing w:line="279" w:lineRule="auto"/>
              <w:rPr>
                <w:rFonts w:ascii="Aptos" w:eastAsia="Aptos" w:hAnsi="Aptos" w:cs="Aptos"/>
                <w:u w:val="single"/>
              </w:rPr>
            </w:pPr>
          </w:p>
        </w:tc>
        <w:tc>
          <w:tcPr>
            <w:tcW w:w="4508" w:type="dxa"/>
          </w:tcPr>
          <w:p w14:paraId="5CB075FE" w14:textId="07EA0DA2" w:rsidR="7830B160" w:rsidRDefault="7830B160" w:rsidP="409B4C76">
            <w:pPr>
              <w:rPr>
                <w:rFonts w:ascii="Aptos" w:eastAsia="Aptos" w:hAnsi="Aptos" w:cs="Aptos"/>
                <w:highlight w:val="green"/>
              </w:rPr>
            </w:pPr>
            <w:commentRangeStart w:id="32"/>
            <w:r w:rsidRPr="409B4C76">
              <w:rPr>
                <w:rFonts w:ascii="Aptos" w:eastAsia="Aptos" w:hAnsi="Aptos" w:cs="Aptos"/>
                <w:highlight w:val="green"/>
              </w:rPr>
              <w:t>¿Continúa vigente el esquema de códigos para informar las marcas de tarjetas en las transacciones (por ejemplo: 1 American Express, 2 Cabal, 3 Mastercard, etc.)?</w:t>
            </w:r>
            <w:commentRangeEnd w:id="32"/>
            <w:r>
              <w:rPr>
                <w:rStyle w:val="Refdecomentario"/>
                <w:rFonts w:ascii="Aptos" w:eastAsia="Aptos" w:hAnsi="Aptos" w:cs="Aptos"/>
                <w:sz w:val="24"/>
                <w:szCs w:val="24"/>
                <w:highlight w:val="green"/>
              </w:rPr>
              <w:commentReference w:id="32"/>
            </w:r>
          </w:p>
        </w:tc>
      </w:tr>
      <w:tr w:rsidR="409B4C76" w14:paraId="6BCEB878" w14:textId="77777777" w:rsidTr="3157D90E">
        <w:trPr>
          <w:trHeight w:val="300"/>
        </w:trPr>
        <w:tc>
          <w:tcPr>
            <w:tcW w:w="4508" w:type="dxa"/>
          </w:tcPr>
          <w:p w14:paraId="3E49DDE3" w14:textId="207F2EEC" w:rsidR="409B4C76" w:rsidRDefault="409B4C76" w:rsidP="409B4C76">
            <w:pPr>
              <w:spacing w:line="279" w:lineRule="auto"/>
              <w:rPr>
                <w:rFonts w:ascii="Aptos" w:eastAsia="Aptos" w:hAnsi="Aptos" w:cs="Aptos"/>
                <w:u w:val="single"/>
              </w:rPr>
            </w:pPr>
          </w:p>
        </w:tc>
        <w:tc>
          <w:tcPr>
            <w:tcW w:w="4508" w:type="dxa"/>
          </w:tcPr>
          <w:p w14:paraId="7136886D" w14:textId="61BB6B5C" w:rsidR="7830B160" w:rsidRDefault="7830B160" w:rsidP="409B4C76">
            <w:pPr>
              <w:rPr>
                <w:rFonts w:ascii="Aptos" w:eastAsia="Aptos" w:hAnsi="Aptos" w:cs="Aptos"/>
              </w:rPr>
            </w:pPr>
            <w:commentRangeStart w:id="33"/>
            <w:r w:rsidRPr="409B4C76">
              <w:rPr>
                <w:rFonts w:ascii="Aptos" w:eastAsia="Aptos" w:hAnsi="Aptos" w:cs="Aptos"/>
              </w:rPr>
              <w:t>Los códigos de marcas de tarjetas se publicarán en el sitio web del BCRA, en la consulta “Marca de tarjetas” (</w:t>
            </w:r>
            <w:hyperlink r:id="rId11">
              <w:r w:rsidRPr="409B4C76">
                <w:rPr>
                  <w:rStyle w:val="Hipervnculo"/>
                  <w:rFonts w:ascii="Aptos" w:eastAsia="Aptos" w:hAnsi="Aptos" w:cs="Aptos"/>
                </w:rPr>
                <w:t>https://www3.bcra.gob.ar</w:t>
              </w:r>
            </w:hyperlink>
            <w:r w:rsidRPr="409B4C76">
              <w:rPr>
                <w:rFonts w:ascii="Aptos" w:eastAsia="Aptos" w:hAnsi="Aptos" w:cs="Aptos"/>
              </w:rPr>
              <w:t>).</w:t>
            </w:r>
            <w:commentRangeEnd w:id="33"/>
            <w:r>
              <w:rPr>
                <w:rStyle w:val="Refdecomentario"/>
                <w:rFonts w:ascii="Aptos" w:eastAsia="Aptos" w:hAnsi="Aptos" w:cs="Aptos"/>
                <w:sz w:val="24"/>
                <w:szCs w:val="24"/>
              </w:rPr>
              <w:commentReference w:id="33"/>
            </w:r>
          </w:p>
        </w:tc>
      </w:tr>
      <w:tr w:rsidR="409B4C76" w14:paraId="35A78C27" w14:textId="77777777" w:rsidTr="3157D90E">
        <w:trPr>
          <w:trHeight w:val="300"/>
        </w:trPr>
        <w:tc>
          <w:tcPr>
            <w:tcW w:w="4508" w:type="dxa"/>
          </w:tcPr>
          <w:p w14:paraId="072DB12B" w14:textId="19B6C257" w:rsidR="409B4C76" w:rsidRDefault="409B4C76" w:rsidP="409B4C76">
            <w:pPr>
              <w:spacing w:line="279" w:lineRule="auto"/>
              <w:rPr>
                <w:rFonts w:ascii="Aptos" w:eastAsia="Aptos" w:hAnsi="Aptos" w:cs="Aptos"/>
                <w:u w:val="single"/>
              </w:rPr>
            </w:pPr>
          </w:p>
        </w:tc>
        <w:tc>
          <w:tcPr>
            <w:tcW w:w="4508" w:type="dxa"/>
          </w:tcPr>
          <w:p w14:paraId="33A452FE" w14:textId="6BF06AF8" w:rsidR="7830B160" w:rsidRDefault="7830B160" w:rsidP="409B4C76">
            <w:pPr>
              <w:rPr>
                <w:rFonts w:ascii="Aptos" w:eastAsia="Aptos" w:hAnsi="Aptos" w:cs="Aptos"/>
                <w:highlight w:val="green"/>
              </w:rPr>
            </w:pPr>
            <w:commentRangeStart w:id="34"/>
            <w:r w:rsidRPr="409B4C76">
              <w:rPr>
                <w:rFonts w:ascii="Aptos" w:eastAsia="Aptos" w:hAnsi="Aptos" w:cs="Aptos"/>
                <w:highlight w:val="green"/>
              </w:rPr>
              <w:t>En las transferencias entrantes desde bancos y otros PSPCP, cuando no se conoce el concepto de la operación, ¿es correcto utilizar el código genérico 1029910?</w:t>
            </w:r>
            <w:commentRangeEnd w:id="34"/>
            <w:r>
              <w:rPr>
                <w:rStyle w:val="Refdecomentario"/>
                <w:rFonts w:ascii="Aptos" w:eastAsia="Aptos" w:hAnsi="Aptos" w:cs="Aptos"/>
                <w:sz w:val="24"/>
                <w:szCs w:val="24"/>
                <w:highlight w:val="green"/>
              </w:rPr>
              <w:commentReference w:id="34"/>
            </w:r>
          </w:p>
        </w:tc>
      </w:tr>
      <w:tr w:rsidR="409B4C76" w14:paraId="27A78A0B" w14:textId="77777777" w:rsidTr="3157D90E">
        <w:trPr>
          <w:trHeight w:val="300"/>
        </w:trPr>
        <w:tc>
          <w:tcPr>
            <w:tcW w:w="4508" w:type="dxa"/>
          </w:tcPr>
          <w:p w14:paraId="66DD0F33" w14:textId="0C77FD98" w:rsidR="409B4C76" w:rsidRDefault="409B4C76" w:rsidP="409B4C76">
            <w:pPr>
              <w:spacing w:line="279" w:lineRule="auto"/>
              <w:rPr>
                <w:rFonts w:ascii="Aptos" w:eastAsia="Aptos" w:hAnsi="Aptos" w:cs="Aptos"/>
                <w:u w:val="single"/>
              </w:rPr>
            </w:pPr>
          </w:p>
        </w:tc>
        <w:tc>
          <w:tcPr>
            <w:tcW w:w="4508" w:type="dxa"/>
          </w:tcPr>
          <w:p w14:paraId="4CB2722A" w14:textId="1FEC2EE4" w:rsidR="7830B160" w:rsidRDefault="7830B160" w:rsidP="409B4C76">
            <w:pPr>
              <w:rPr>
                <w:rFonts w:ascii="Aptos" w:eastAsia="Aptos" w:hAnsi="Aptos" w:cs="Aptos"/>
              </w:rPr>
            </w:pPr>
            <w:commentRangeStart w:id="35"/>
            <w:r w:rsidRPr="409B4C76">
              <w:rPr>
                <w:rFonts w:ascii="Aptos" w:eastAsia="Aptos" w:hAnsi="Aptos" w:cs="Aptos"/>
              </w:rPr>
              <w:t>Sí, para personas humanas es correcto utilizar el código indicado.</w:t>
            </w:r>
            <w:commentRangeEnd w:id="35"/>
            <w:r>
              <w:rPr>
                <w:rStyle w:val="Refdecomentario"/>
                <w:rFonts w:ascii="Aptos" w:eastAsia="Aptos" w:hAnsi="Aptos" w:cs="Aptos"/>
                <w:sz w:val="24"/>
                <w:szCs w:val="24"/>
              </w:rPr>
              <w:commentReference w:id="35"/>
            </w:r>
          </w:p>
        </w:tc>
      </w:tr>
      <w:tr w:rsidR="409B4C76" w14:paraId="01952968" w14:textId="77777777" w:rsidTr="3157D90E">
        <w:trPr>
          <w:trHeight w:val="300"/>
        </w:trPr>
        <w:tc>
          <w:tcPr>
            <w:tcW w:w="4508" w:type="dxa"/>
          </w:tcPr>
          <w:p w14:paraId="0F326862" w14:textId="48E11C6A" w:rsidR="409B4C76" w:rsidRDefault="409B4C76" w:rsidP="409B4C76">
            <w:pPr>
              <w:spacing w:line="279" w:lineRule="auto"/>
              <w:rPr>
                <w:rFonts w:ascii="Aptos" w:eastAsia="Aptos" w:hAnsi="Aptos" w:cs="Aptos"/>
                <w:u w:val="single"/>
              </w:rPr>
            </w:pPr>
          </w:p>
        </w:tc>
        <w:tc>
          <w:tcPr>
            <w:tcW w:w="4508" w:type="dxa"/>
          </w:tcPr>
          <w:p w14:paraId="1ED6088E" w14:textId="338602B9" w:rsidR="7830B160" w:rsidRDefault="7830B160" w:rsidP="409B4C76">
            <w:pPr>
              <w:rPr>
                <w:rFonts w:ascii="Aptos" w:eastAsia="Aptos" w:hAnsi="Aptos" w:cs="Aptos"/>
                <w:highlight w:val="green"/>
              </w:rPr>
            </w:pPr>
            <w:commentRangeStart w:id="36"/>
            <w:r w:rsidRPr="409B4C76">
              <w:rPr>
                <w:rFonts w:ascii="Aptos" w:eastAsia="Aptos" w:hAnsi="Aptos" w:cs="Aptos"/>
                <w:highlight w:val="green"/>
              </w:rPr>
              <w:t>En pagos con QR, al informar si la cuenta es de persona humana o jurídica, ¿se debe considerar al ordenante del pago o al beneficiario que recibe los fondos?</w:t>
            </w:r>
            <w:commentRangeEnd w:id="36"/>
            <w:r>
              <w:rPr>
                <w:rStyle w:val="Refdecomentario"/>
                <w:rFonts w:ascii="Aptos" w:eastAsia="Aptos" w:hAnsi="Aptos" w:cs="Aptos"/>
                <w:sz w:val="24"/>
                <w:szCs w:val="24"/>
                <w:highlight w:val="green"/>
              </w:rPr>
              <w:commentReference w:id="36"/>
            </w:r>
          </w:p>
        </w:tc>
      </w:tr>
      <w:tr w:rsidR="409B4C76" w14:paraId="235B09FB" w14:textId="77777777" w:rsidTr="3157D90E">
        <w:trPr>
          <w:trHeight w:val="300"/>
        </w:trPr>
        <w:tc>
          <w:tcPr>
            <w:tcW w:w="4508" w:type="dxa"/>
          </w:tcPr>
          <w:p w14:paraId="63C10B41" w14:textId="7A3CC4FC" w:rsidR="409B4C76" w:rsidRDefault="409B4C76" w:rsidP="409B4C76">
            <w:pPr>
              <w:spacing w:line="279" w:lineRule="auto"/>
              <w:rPr>
                <w:rFonts w:ascii="Aptos" w:eastAsia="Aptos" w:hAnsi="Aptos" w:cs="Aptos"/>
                <w:u w:val="single"/>
              </w:rPr>
            </w:pPr>
          </w:p>
        </w:tc>
        <w:tc>
          <w:tcPr>
            <w:tcW w:w="4508" w:type="dxa"/>
          </w:tcPr>
          <w:p w14:paraId="42DA708C" w14:textId="03DF6E52" w:rsidR="7830B160" w:rsidRDefault="7830B160" w:rsidP="409B4C76">
            <w:pPr>
              <w:rPr>
                <w:rFonts w:ascii="Aptos" w:eastAsia="Aptos" w:hAnsi="Aptos" w:cs="Aptos"/>
              </w:rPr>
            </w:pPr>
            <w:commentRangeStart w:id="37"/>
            <w:r w:rsidRPr="409B4C76">
              <w:rPr>
                <w:rFonts w:ascii="Aptos" w:eastAsia="Aptos" w:hAnsi="Aptos" w:cs="Aptos"/>
                <w:b/>
                <w:bCs/>
              </w:rPr>
              <w:t>Respuesta:</w:t>
            </w:r>
            <w:r w:rsidRPr="409B4C76">
              <w:rPr>
                <w:rFonts w:ascii="Aptos" w:eastAsia="Aptos" w:hAnsi="Aptos" w:cs="Aptos"/>
              </w:rPr>
              <w:t xml:space="preserve"> Deben informarse todos los movimientos de las cuentas de pago:</w:t>
            </w:r>
          </w:p>
          <w:p w14:paraId="4933D034" w14:textId="6DF4F806" w:rsidR="7830B160" w:rsidRDefault="7830B160" w:rsidP="409B4C76">
            <w:pPr>
              <w:numPr>
                <w:ilvl w:val="0"/>
                <w:numId w:val="9"/>
              </w:numPr>
              <w:rPr>
                <w:rFonts w:ascii="Aptos" w:eastAsia="Aptos" w:hAnsi="Aptos" w:cs="Aptos"/>
              </w:rPr>
            </w:pPr>
            <w:r w:rsidRPr="409B4C76">
              <w:rPr>
                <w:rFonts w:ascii="Aptos" w:eastAsia="Aptos" w:hAnsi="Aptos" w:cs="Aptos"/>
              </w:rPr>
              <w:t xml:space="preserve">Si un cliente del PSP realiza un pago con QR, se informa en </w:t>
            </w:r>
            <w:r w:rsidRPr="409B4C76">
              <w:rPr>
                <w:rFonts w:ascii="Aptos" w:eastAsia="Aptos" w:hAnsi="Aptos" w:cs="Aptos"/>
                <w:b/>
                <w:bCs/>
              </w:rPr>
              <w:t>“Débitos a”</w:t>
            </w:r>
            <w:r w:rsidRPr="409B4C76">
              <w:rPr>
                <w:rFonts w:ascii="Aptos" w:eastAsia="Aptos" w:hAnsi="Aptos" w:cs="Aptos"/>
              </w:rPr>
              <w:t xml:space="preserve"> con la partida </w:t>
            </w:r>
            <w:r w:rsidRPr="409B4C76">
              <w:rPr>
                <w:rFonts w:ascii="Aptos" w:eastAsia="Aptos" w:hAnsi="Aptos" w:cs="Aptos"/>
              </w:rPr>
              <w:lastRenderedPageBreak/>
              <w:t>correspondiente a la cuenta en la que se acreditan los fondos.</w:t>
            </w:r>
          </w:p>
          <w:p w14:paraId="045E1344" w14:textId="1C5CCC21" w:rsidR="7830B160" w:rsidRDefault="7830B160" w:rsidP="409B4C76">
            <w:pPr>
              <w:numPr>
                <w:ilvl w:val="0"/>
                <w:numId w:val="9"/>
              </w:numPr>
              <w:rPr>
                <w:rFonts w:ascii="Aptos" w:eastAsia="Aptos" w:hAnsi="Aptos" w:cs="Aptos"/>
              </w:rPr>
            </w:pPr>
            <w:r w:rsidRPr="409B4C76">
              <w:rPr>
                <w:rFonts w:ascii="Aptos" w:eastAsia="Aptos" w:hAnsi="Aptos" w:cs="Aptos"/>
              </w:rPr>
              <w:t xml:space="preserve">Si un cliente del PSP recibe un pago con QR (por ejemplo, un comercio), se informa en </w:t>
            </w:r>
            <w:r w:rsidRPr="409B4C76">
              <w:rPr>
                <w:rFonts w:ascii="Aptos" w:eastAsia="Aptos" w:hAnsi="Aptos" w:cs="Aptos"/>
                <w:b/>
                <w:bCs/>
              </w:rPr>
              <w:t>“Créditos en”</w:t>
            </w:r>
            <w:r w:rsidRPr="409B4C76">
              <w:rPr>
                <w:rFonts w:ascii="Aptos" w:eastAsia="Aptos" w:hAnsi="Aptos" w:cs="Aptos"/>
              </w:rPr>
              <w:t xml:space="preserve"> con la partida correspondiente a la cuenta de destino.</w:t>
            </w:r>
            <w:commentRangeEnd w:id="37"/>
            <w:r>
              <w:rPr>
                <w:rStyle w:val="Refdecomentario"/>
                <w:rFonts w:ascii="Aptos" w:eastAsia="Aptos" w:hAnsi="Aptos" w:cs="Aptos"/>
                <w:sz w:val="24"/>
                <w:szCs w:val="24"/>
              </w:rPr>
              <w:commentReference w:id="37"/>
            </w:r>
          </w:p>
        </w:tc>
      </w:tr>
      <w:tr w:rsidR="409B4C76" w14:paraId="1148B02D" w14:textId="77777777" w:rsidTr="3157D90E">
        <w:trPr>
          <w:trHeight w:val="300"/>
        </w:trPr>
        <w:tc>
          <w:tcPr>
            <w:tcW w:w="4508" w:type="dxa"/>
          </w:tcPr>
          <w:p w14:paraId="3FED12CF" w14:textId="3EB1B0AB" w:rsidR="409B4C76" w:rsidRDefault="409B4C76" w:rsidP="409B4C76">
            <w:pPr>
              <w:spacing w:line="279" w:lineRule="auto"/>
              <w:rPr>
                <w:rFonts w:ascii="Aptos" w:eastAsia="Aptos" w:hAnsi="Aptos" w:cs="Aptos"/>
                <w:u w:val="single"/>
              </w:rPr>
            </w:pPr>
          </w:p>
        </w:tc>
        <w:tc>
          <w:tcPr>
            <w:tcW w:w="4508" w:type="dxa"/>
          </w:tcPr>
          <w:p w14:paraId="1CE201EA" w14:textId="3D759AFA" w:rsidR="7830B160" w:rsidRDefault="7830B160" w:rsidP="409B4C76">
            <w:pPr>
              <w:rPr>
                <w:rFonts w:ascii="Aptos" w:eastAsia="Aptos" w:hAnsi="Aptos" w:cs="Aptos"/>
                <w:highlight w:val="green"/>
              </w:rPr>
            </w:pPr>
            <w:commentRangeStart w:id="38"/>
            <w:r w:rsidRPr="409B4C76">
              <w:rPr>
                <w:rFonts w:ascii="Aptos" w:eastAsia="Aptos" w:hAnsi="Aptos" w:cs="Aptos"/>
                <w:highlight w:val="green"/>
              </w:rPr>
              <w:t>En pagos con QR a través de tarjetas, cuando el PSP no emite tarjetas propias, ¿corresponde informar transacciones realizadas con tarjetas de otras entidades? En caso afirmativo, ¿qué código se debe utilizar?</w:t>
            </w:r>
            <w:commentRangeEnd w:id="38"/>
            <w:r>
              <w:rPr>
                <w:rStyle w:val="Refdecomentario"/>
                <w:rFonts w:ascii="Aptos" w:eastAsia="Aptos" w:hAnsi="Aptos" w:cs="Aptos"/>
                <w:sz w:val="24"/>
                <w:szCs w:val="24"/>
                <w:highlight w:val="green"/>
              </w:rPr>
              <w:commentReference w:id="38"/>
            </w:r>
          </w:p>
        </w:tc>
      </w:tr>
      <w:tr w:rsidR="409B4C76" w14:paraId="594FDCC3" w14:textId="77777777" w:rsidTr="3157D90E">
        <w:trPr>
          <w:trHeight w:val="300"/>
        </w:trPr>
        <w:tc>
          <w:tcPr>
            <w:tcW w:w="4508" w:type="dxa"/>
          </w:tcPr>
          <w:p w14:paraId="28043563" w14:textId="7C74FC1A" w:rsidR="409B4C76" w:rsidRDefault="409B4C76" w:rsidP="409B4C76">
            <w:pPr>
              <w:spacing w:line="279" w:lineRule="auto"/>
              <w:rPr>
                <w:rFonts w:ascii="Aptos" w:eastAsia="Aptos" w:hAnsi="Aptos" w:cs="Aptos"/>
                <w:u w:val="single"/>
              </w:rPr>
            </w:pPr>
          </w:p>
        </w:tc>
        <w:tc>
          <w:tcPr>
            <w:tcW w:w="4508" w:type="dxa"/>
          </w:tcPr>
          <w:p w14:paraId="0A135BBD" w14:textId="405470B7" w:rsidR="7830B160" w:rsidRDefault="7830B160" w:rsidP="409B4C76">
            <w:pPr>
              <w:rPr>
                <w:rFonts w:ascii="Aptos" w:eastAsia="Aptos" w:hAnsi="Aptos" w:cs="Aptos"/>
              </w:rPr>
            </w:pPr>
            <w:commentRangeStart w:id="39"/>
            <w:r w:rsidRPr="409B4C76">
              <w:rPr>
                <w:rFonts w:ascii="Aptos" w:eastAsia="Aptos" w:hAnsi="Aptos" w:cs="Aptos"/>
              </w:rPr>
              <w:t>Las operaciones con tarjetas (débito, crédito o prepaga) se informan únicamente si el débito proviene de cuentas de pago propias del PSP. Si no hay egreso efectivo de fondos de cuentas de pago de clientes, no corresponde su reporte.</w:t>
            </w:r>
            <w:commentRangeEnd w:id="39"/>
            <w:r>
              <w:rPr>
                <w:rStyle w:val="Refdecomentario"/>
                <w:rFonts w:ascii="Aptos" w:eastAsia="Aptos" w:hAnsi="Aptos" w:cs="Aptos"/>
                <w:sz w:val="24"/>
                <w:szCs w:val="24"/>
              </w:rPr>
              <w:commentReference w:id="39"/>
            </w:r>
          </w:p>
        </w:tc>
      </w:tr>
      <w:tr w:rsidR="3157D90E" w14:paraId="1FB20F27" w14:textId="77777777" w:rsidTr="3157D90E">
        <w:trPr>
          <w:trHeight w:val="300"/>
        </w:trPr>
        <w:tc>
          <w:tcPr>
            <w:tcW w:w="4508" w:type="dxa"/>
          </w:tcPr>
          <w:p w14:paraId="38866561" w14:textId="13BB3E69" w:rsidR="3157D90E" w:rsidRDefault="3157D90E" w:rsidP="3157D90E">
            <w:pPr>
              <w:spacing w:line="279" w:lineRule="auto"/>
              <w:rPr>
                <w:rFonts w:ascii="Aptos" w:eastAsia="Aptos" w:hAnsi="Aptos" w:cs="Aptos"/>
                <w:u w:val="single"/>
              </w:rPr>
            </w:pPr>
          </w:p>
        </w:tc>
        <w:tc>
          <w:tcPr>
            <w:tcW w:w="4508" w:type="dxa"/>
          </w:tcPr>
          <w:p w14:paraId="2C459C62" w14:textId="1AC2067D" w:rsidR="461DB392" w:rsidRDefault="461DB392" w:rsidP="3157D90E">
            <w:pPr>
              <w:rPr>
                <w:rFonts w:ascii="Aptos" w:eastAsia="Aptos" w:hAnsi="Aptos" w:cs="Aptos"/>
                <w:b/>
                <w:bCs/>
                <w:highlight w:val="yellow"/>
              </w:rPr>
            </w:pPr>
            <w:commentRangeStart w:id="40"/>
            <w:r w:rsidRPr="3157D90E">
              <w:rPr>
                <w:rFonts w:ascii="Aptos" w:eastAsia="Aptos" w:hAnsi="Aptos" w:cs="Aptos"/>
                <w:b/>
                <w:bCs/>
                <w:highlight w:val="yellow"/>
              </w:rPr>
              <w:t>¿Corresponde informar las operaciones de pago con tarjetas de crédito, débito o prepagas cuando el PSP no emite tarjetas propias y los fondos se debitan de cuentas bancarias u otras cuentas ajenas a la cuenta de pago del PSP (por ejemplo, pagos con QR abonados con tarjeta)?</w:t>
            </w:r>
            <w:commentRangeEnd w:id="40"/>
            <w:r>
              <w:rPr>
                <w:rStyle w:val="Refdecomentario"/>
                <w:rFonts w:ascii="Aptos" w:eastAsia="Aptos" w:hAnsi="Aptos" w:cs="Aptos"/>
                <w:b/>
                <w:bCs/>
                <w:sz w:val="24"/>
                <w:szCs w:val="24"/>
                <w:highlight w:val="yellow"/>
              </w:rPr>
              <w:commentReference w:id="40"/>
            </w:r>
          </w:p>
        </w:tc>
      </w:tr>
      <w:tr w:rsidR="3157D90E" w14:paraId="1753427B" w14:textId="77777777" w:rsidTr="3157D90E">
        <w:trPr>
          <w:trHeight w:val="300"/>
        </w:trPr>
        <w:tc>
          <w:tcPr>
            <w:tcW w:w="4508" w:type="dxa"/>
          </w:tcPr>
          <w:p w14:paraId="4E409F9D" w14:textId="55502FD5" w:rsidR="3157D90E" w:rsidRDefault="3157D90E" w:rsidP="3157D90E">
            <w:pPr>
              <w:spacing w:line="279" w:lineRule="auto"/>
              <w:rPr>
                <w:rFonts w:ascii="Aptos" w:eastAsia="Aptos" w:hAnsi="Aptos" w:cs="Aptos"/>
                <w:u w:val="single"/>
              </w:rPr>
            </w:pPr>
          </w:p>
        </w:tc>
        <w:tc>
          <w:tcPr>
            <w:tcW w:w="4508" w:type="dxa"/>
          </w:tcPr>
          <w:p w14:paraId="48257B97" w14:textId="0EC7B527" w:rsidR="461DB392" w:rsidRDefault="461DB392" w:rsidP="3157D90E">
            <w:r w:rsidRPr="3157D90E">
              <w:rPr>
                <w:rFonts w:ascii="Aptos" w:eastAsia="Aptos" w:hAnsi="Aptos" w:cs="Aptos"/>
              </w:rPr>
              <w:t xml:space="preserve">Las operaciones con tarjetas (crédito, débito o prepaga) solo deben informarse en el régimen cuando el </w:t>
            </w:r>
            <w:r w:rsidRPr="3157D90E">
              <w:rPr>
                <w:rFonts w:ascii="Aptos" w:eastAsia="Aptos" w:hAnsi="Aptos" w:cs="Aptos"/>
                <w:b/>
                <w:bCs/>
              </w:rPr>
              <w:t>débito o crédito impacta en cuentas de pago administradas por el PSPCP</w:t>
            </w:r>
            <w:r w:rsidRPr="3157D90E">
              <w:rPr>
                <w:rFonts w:ascii="Aptos" w:eastAsia="Aptos" w:hAnsi="Aptos" w:cs="Aptos"/>
              </w:rPr>
              <w:t>.</w:t>
            </w:r>
            <w:r>
              <w:br/>
            </w:r>
            <w:r w:rsidRPr="3157D90E">
              <w:rPr>
                <w:rFonts w:ascii="Aptos" w:eastAsia="Aptos" w:hAnsi="Aptos" w:cs="Aptos"/>
              </w:rPr>
              <w:t xml:space="preserve"> Si el pago con tarjeta </w:t>
            </w:r>
            <w:r w:rsidRPr="3157D90E">
              <w:rPr>
                <w:rFonts w:ascii="Aptos" w:eastAsia="Aptos" w:hAnsi="Aptos" w:cs="Aptos"/>
                <w:b/>
                <w:bCs/>
              </w:rPr>
              <w:t>no implica un movimiento de fondos en una cuenta de pago de clientes</w:t>
            </w:r>
            <w:r w:rsidRPr="3157D90E">
              <w:rPr>
                <w:rFonts w:ascii="Aptos" w:eastAsia="Aptos" w:hAnsi="Aptos" w:cs="Aptos"/>
              </w:rPr>
              <w:t xml:space="preserve"> (por ejemplo, cuando el débito se hace directamente en una cuenta bancaria ajena al PSP), </w:t>
            </w:r>
            <w:r w:rsidRPr="3157D90E">
              <w:rPr>
                <w:rFonts w:ascii="Aptos" w:eastAsia="Aptos" w:hAnsi="Aptos" w:cs="Aptos"/>
                <w:b/>
                <w:bCs/>
              </w:rPr>
              <w:t>no corresponde reportar esas operaciones en las partidas 10XXXXX ni 20XXXXX</w:t>
            </w:r>
            <w:r w:rsidRPr="3157D90E">
              <w:rPr>
                <w:rFonts w:ascii="Aptos" w:eastAsia="Aptos" w:hAnsi="Aptos" w:cs="Aptos"/>
              </w:rPr>
              <w:t>.</w:t>
            </w:r>
          </w:p>
        </w:tc>
      </w:tr>
      <w:tr w:rsidR="409B4C76" w14:paraId="40ED29C0" w14:textId="77777777" w:rsidTr="3157D90E">
        <w:trPr>
          <w:trHeight w:val="300"/>
        </w:trPr>
        <w:tc>
          <w:tcPr>
            <w:tcW w:w="4508" w:type="dxa"/>
          </w:tcPr>
          <w:p w14:paraId="75824BD6" w14:textId="59ECA02B" w:rsidR="409B4C76" w:rsidRDefault="409B4C76" w:rsidP="409B4C76">
            <w:pPr>
              <w:spacing w:line="279" w:lineRule="auto"/>
              <w:rPr>
                <w:rFonts w:ascii="Aptos" w:eastAsia="Aptos" w:hAnsi="Aptos" w:cs="Aptos"/>
                <w:u w:val="single"/>
              </w:rPr>
            </w:pPr>
          </w:p>
        </w:tc>
        <w:tc>
          <w:tcPr>
            <w:tcW w:w="4508" w:type="dxa"/>
          </w:tcPr>
          <w:p w14:paraId="44243DFE" w14:textId="47ECA6D6" w:rsidR="7830B160" w:rsidRDefault="7830B160" w:rsidP="409B4C76">
            <w:pPr>
              <w:rPr>
                <w:rFonts w:ascii="Aptos" w:eastAsia="Aptos" w:hAnsi="Aptos" w:cs="Aptos"/>
                <w:highlight w:val="green"/>
              </w:rPr>
            </w:pPr>
            <w:commentRangeStart w:id="41"/>
            <w:r w:rsidRPr="409B4C76">
              <w:rPr>
                <w:rFonts w:ascii="Aptos" w:eastAsia="Aptos" w:hAnsi="Aptos" w:cs="Aptos"/>
                <w:highlight w:val="green"/>
              </w:rPr>
              <w:t>En devoluciones o reembolsos por pagos con QR, ¿corresponde informarlos como créditos en la cuenta del cliente?</w:t>
            </w:r>
            <w:commentRangeEnd w:id="41"/>
            <w:r>
              <w:rPr>
                <w:rStyle w:val="Refdecomentario"/>
                <w:rFonts w:ascii="Aptos" w:eastAsia="Aptos" w:hAnsi="Aptos" w:cs="Aptos"/>
                <w:sz w:val="24"/>
                <w:szCs w:val="24"/>
                <w:highlight w:val="green"/>
              </w:rPr>
              <w:commentReference w:id="41"/>
            </w:r>
          </w:p>
        </w:tc>
      </w:tr>
      <w:tr w:rsidR="409B4C76" w14:paraId="78C1ED82" w14:textId="77777777" w:rsidTr="3157D90E">
        <w:trPr>
          <w:trHeight w:val="300"/>
        </w:trPr>
        <w:tc>
          <w:tcPr>
            <w:tcW w:w="4508" w:type="dxa"/>
          </w:tcPr>
          <w:p w14:paraId="340791BC" w14:textId="741E9A91" w:rsidR="409B4C76" w:rsidRDefault="409B4C76" w:rsidP="409B4C76">
            <w:pPr>
              <w:spacing w:line="279" w:lineRule="auto"/>
              <w:rPr>
                <w:rFonts w:ascii="Aptos" w:eastAsia="Aptos" w:hAnsi="Aptos" w:cs="Aptos"/>
                <w:u w:val="single"/>
              </w:rPr>
            </w:pPr>
          </w:p>
        </w:tc>
        <w:tc>
          <w:tcPr>
            <w:tcW w:w="4508" w:type="dxa"/>
          </w:tcPr>
          <w:p w14:paraId="3CD54A01" w14:textId="61BF149C" w:rsidR="7830B160" w:rsidRDefault="7830B160" w:rsidP="409B4C76">
            <w:pPr>
              <w:rPr>
                <w:rFonts w:ascii="Aptos" w:eastAsia="Aptos" w:hAnsi="Aptos" w:cs="Aptos"/>
              </w:rPr>
            </w:pPr>
            <w:commentRangeStart w:id="42"/>
            <w:r w:rsidRPr="409B4C76">
              <w:rPr>
                <w:rFonts w:ascii="Aptos" w:eastAsia="Aptos" w:hAnsi="Aptos" w:cs="Aptos"/>
                <w:b/>
                <w:bCs/>
              </w:rPr>
              <w:t>Respuesta:</w:t>
            </w:r>
            <w:r w:rsidRPr="409B4C76">
              <w:rPr>
                <w:rFonts w:ascii="Aptos" w:eastAsia="Aptos" w:hAnsi="Aptos" w:cs="Aptos"/>
              </w:rPr>
              <w:t xml:space="preserve"> Sí, siempre que la operación implique un movimiento real en la cuenta </w:t>
            </w:r>
            <w:r w:rsidRPr="409B4C76">
              <w:rPr>
                <w:rFonts w:ascii="Aptos" w:eastAsia="Aptos" w:hAnsi="Aptos" w:cs="Aptos"/>
              </w:rPr>
              <w:lastRenderedPageBreak/>
              <w:t>de pago del usuario (débito inicial y posterior crédito por la devolución).</w:t>
            </w:r>
            <w:commentRangeEnd w:id="42"/>
            <w:r>
              <w:rPr>
                <w:rStyle w:val="Refdecomentario"/>
                <w:rFonts w:ascii="Aptos" w:eastAsia="Aptos" w:hAnsi="Aptos" w:cs="Aptos"/>
                <w:sz w:val="24"/>
                <w:szCs w:val="24"/>
              </w:rPr>
              <w:commentReference w:id="42"/>
            </w:r>
          </w:p>
        </w:tc>
      </w:tr>
      <w:tr w:rsidR="409B4C76" w14:paraId="5813B6E9" w14:textId="77777777" w:rsidTr="3157D90E">
        <w:trPr>
          <w:trHeight w:val="300"/>
        </w:trPr>
        <w:tc>
          <w:tcPr>
            <w:tcW w:w="4508" w:type="dxa"/>
          </w:tcPr>
          <w:p w14:paraId="44055133" w14:textId="1AB329D4" w:rsidR="409B4C76" w:rsidRDefault="409B4C76" w:rsidP="409B4C76">
            <w:pPr>
              <w:spacing w:line="279" w:lineRule="auto"/>
              <w:rPr>
                <w:rFonts w:ascii="Aptos" w:eastAsia="Aptos" w:hAnsi="Aptos" w:cs="Aptos"/>
                <w:u w:val="single"/>
              </w:rPr>
            </w:pPr>
          </w:p>
        </w:tc>
        <w:tc>
          <w:tcPr>
            <w:tcW w:w="4508" w:type="dxa"/>
          </w:tcPr>
          <w:p w14:paraId="041AD6D0" w14:textId="5B609561" w:rsidR="7830B160" w:rsidRDefault="7830B160" w:rsidP="409B4C76">
            <w:pPr>
              <w:rPr>
                <w:rFonts w:ascii="Aptos" w:eastAsia="Aptos" w:hAnsi="Aptos" w:cs="Aptos"/>
                <w:highlight w:val="green"/>
              </w:rPr>
            </w:pPr>
            <w:commentRangeStart w:id="43"/>
            <w:r w:rsidRPr="409B4C76">
              <w:rPr>
                <w:rFonts w:ascii="Aptos" w:eastAsia="Aptos" w:hAnsi="Aptos" w:cs="Aptos"/>
                <w:highlight w:val="green"/>
              </w:rPr>
              <w:t>En suscripciones y rescates de inversiones, ¿se deben informar las operaciones de forma individual o por lotes? ¿Los intereses se informan como créditos?</w:t>
            </w:r>
            <w:commentRangeEnd w:id="43"/>
            <w:r>
              <w:rPr>
                <w:rStyle w:val="Refdecomentario"/>
                <w:rFonts w:ascii="Aptos" w:eastAsia="Aptos" w:hAnsi="Aptos" w:cs="Aptos"/>
                <w:sz w:val="24"/>
                <w:szCs w:val="24"/>
                <w:highlight w:val="green"/>
              </w:rPr>
              <w:commentReference w:id="43"/>
            </w:r>
          </w:p>
        </w:tc>
      </w:tr>
      <w:tr w:rsidR="409B4C76" w14:paraId="61B115F6" w14:textId="77777777" w:rsidTr="3157D90E">
        <w:trPr>
          <w:trHeight w:val="300"/>
        </w:trPr>
        <w:tc>
          <w:tcPr>
            <w:tcW w:w="4508" w:type="dxa"/>
          </w:tcPr>
          <w:p w14:paraId="142C8944" w14:textId="49E09206" w:rsidR="409B4C76" w:rsidRDefault="409B4C76" w:rsidP="409B4C76">
            <w:pPr>
              <w:spacing w:line="279" w:lineRule="auto"/>
              <w:rPr>
                <w:rFonts w:ascii="Aptos" w:eastAsia="Aptos" w:hAnsi="Aptos" w:cs="Aptos"/>
                <w:u w:val="single"/>
              </w:rPr>
            </w:pPr>
          </w:p>
        </w:tc>
        <w:tc>
          <w:tcPr>
            <w:tcW w:w="4508" w:type="dxa"/>
          </w:tcPr>
          <w:p w14:paraId="08CDD00F" w14:textId="4E056AC6" w:rsidR="7830B160" w:rsidRDefault="7830B160" w:rsidP="409B4C76">
            <w:pPr>
              <w:rPr>
                <w:rFonts w:ascii="Aptos" w:eastAsia="Aptos" w:hAnsi="Aptos" w:cs="Aptos"/>
              </w:rPr>
            </w:pPr>
            <w:commentRangeStart w:id="44"/>
            <w:r w:rsidRPr="409B4C76">
              <w:rPr>
                <w:rFonts w:ascii="Aptos" w:eastAsia="Aptos" w:hAnsi="Aptos" w:cs="Aptos"/>
                <w:b/>
                <w:bCs/>
              </w:rPr>
              <w:t>Respuesta:</w:t>
            </w:r>
            <w:r w:rsidRPr="409B4C76">
              <w:rPr>
                <w:rFonts w:ascii="Aptos" w:eastAsia="Aptos" w:hAnsi="Aptos" w:cs="Aptos"/>
              </w:rPr>
              <w:t xml:space="preserve"> La información del </w:t>
            </w:r>
            <w:r w:rsidRPr="409B4C76">
              <w:rPr>
                <w:rFonts w:ascii="Aptos" w:eastAsia="Aptos" w:hAnsi="Aptos" w:cs="Aptos"/>
                <w:i/>
                <w:iCs/>
              </w:rPr>
              <w:t>Apartado B</w:t>
            </w:r>
            <w:r w:rsidRPr="409B4C76">
              <w:rPr>
                <w:rFonts w:ascii="Aptos" w:eastAsia="Aptos" w:hAnsi="Aptos" w:cs="Aptos"/>
              </w:rPr>
              <w:t xml:space="preserve"> se reporta agrupada de forma mensual. Los intereses, al igual que los rescates, deben informarse siempre que impliquen movimientos en la cuenta de pago del cliente.</w:t>
            </w:r>
            <w:commentRangeEnd w:id="44"/>
            <w:r>
              <w:rPr>
                <w:rStyle w:val="Refdecomentario"/>
                <w:rFonts w:ascii="Aptos" w:eastAsia="Aptos" w:hAnsi="Aptos" w:cs="Aptos"/>
                <w:sz w:val="24"/>
                <w:szCs w:val="24"/>
              </w:rPr>
              <w:commentReference w:id="44"/>
            </w:r>
          </w:p>
        </w:tc>
      </w:tr>
      <w:tr w:rsidR="409B4C76" w14:paraId="4DDA9F4E" w14:textId="77777777" w:rsidTr="3157D90E">
        <w:trPr>
          <w:trHeight w:val="300"/>
        </w:trPr>
        <w:tc>
          <w:tcPr>
            <w:tcW w:w="4508" w:type="dxa"/>
          </w:tcPr>
          <w:p w14:paraId="35E03426" w14:textId="3E318B9F" w:rsidR="409B4C76" w:rsidRDefault="409B4C76" w:rsidP="409B4C76">
            <w:pPr>
              <w:spacing w:line="279" w:lineRule="auto"/>
              <w:rPr>
                <w:rFonts w:ascii="Aptos" w:eastAsia="Aptos" w:hAnsi="Aptos" w:cs="Aptos"/>
                <w:u w:val="single"/>
              </w:rPr>
            </w:pPr>
          </w:p>
        </w:tc>
        <w:tc>
          <w:tcPr>
            <w:tcW w:w="4508" w:type="dxa"/>
          </w:tcPr>
          <w:p w14:paraId="62CB2464" w14:textId="2F7A7C60" w:rsidR="754DBB4E" w:rsidRDefault="754DBB4E" w:rsidP="409B4C76">
            <w:pPr>
              <w:rPr>
                <w:rFonts w:ascii="Aptos" w:eastAsia="Aptos" w:hAnsi="Aptos" w:cs="Aptos"/>
                <w:highlight w:val="green"/>
              </w:rPr>
            </w:pPr>
            <w:commentRangeStart w:id="45"/>
            <w:r w:rsidRPr="409B4C76">
              <w:rPr>
                <w:rFonts w:ascii="Aptos" w:eastAsia="Aptos" w:hAnsi="Aptos" w:cs="Aptos"/>
                <w:highlight w:val="green"/>
              </w:rPr>
              <w:t>Cuando una operación se acredita en la cuenta de pago de un cliente, ¿qué criterio debe aplicarse para determinar la partida a informar, considerando tanto el origen de los fondos (efectivo, transferencia, tarjeta, etc.) como el medio y esquema de pago?</w:t>
            </w:r>
            <w:commentRangeEnd w:id="45"/>
            <w:r>
              <w:rPr>
                <w:rStyle w:val="Refdecomentario"/>
                <w:rFonts w:ascii="Aptos" w:eastAsia="Aptos" w:hAnsi="Aptos" w:cs="Aptos"/>
                <w:sz w:val="24"/>
                <w:szCs w:val="24"/>
                <w:highlight w:val="green"/>
              </w:rPr>
              <w:commentReference w:id="45"/>
            </w:r>
          </w:p>
        </w:tc>
      </w:tr>
      <w:tr w:rsidR="409B4C76" w14:paraId="5681DF62" w14:textId="77777777" w:rsidTr="3157D90E">
        <w:trPr>
          <w:trHeight w:val="300"/>
        </w:trPr>
        <w:tc>
          <w:tcPr>
            <w:tcW w:w="4508" w:type="dxa"/>
          </w:tcPr>
          <w:p w14:paraId="06FE7877" w14:textId="4BC8BA41" w:rsidR="409B4C76" w:rsidRDefault="409B4C76" w:rsidP="409B4C76">
            <w:pPr>
              <w:spacing w:line="279" w:lineRule="auto"/>
              <w:rPr>
                <w:rFonts w:ascii="Aptos" w:eastAsia="Aptos" w:hAnsi="Aptos" w:cs="Aptos"/>
                <w:u w:val="single"/>
              </w:rPr>
            </w:pPr>
          </w:p>
        </w:tc>
        <w:tc>
          <w:tcPr>
            <w:tcW w:w="4508" w:type="dxa"/>
          </w:tcPr>
          <w:p w14:paraId="20EE3CEC" w14:textId="32F74AE1" w:rsidR="754DBB4E" w:rsidRDefault="754DBB4E" w:rsidP="409B4C76">
            <w:pPr>
              <w:rPr>
                <w:rFonts w:ascii="Aptos" w:eastAsia="Aptos" w:hAnsi="Aptos" w:cs="Aptos"/>
              </w:rPr>
            </w:pPr>
            <w:commentRangeStart w:id="46"/>
            <w:r w:rsidRPr="409B4C76">
              <w:rPr>
                <w:rFonts w:ascii="Aptos" w:eastAsia="Aptos" w:hAnsi="Aptos" w:cs="Aptos"/>
              </w:rPr>
              <w:t>La partida a utilizar dependerá de la operatoria real y del origen de los fondos.</w:t>
            </w:r>
          </w:p>
          <w:p w14:paraId="598176B6" w14:textId="2CB3777A" w:rsidR="754DBB4E" w:rsidRDefault="754DBB4E" w:rsidP="409B4C76">
            <w:pPr>
              <w:numPr>
                <w:ilvl w:val="0"/>
                <w:numId w:val="8"/>
              </w:numPr>
              <w:rPr>
                <w:rFonts w:ascii="Aptos" w:eastAsia="Aptos" w:hAnsi="Aptos" w:cs="Aptos"/>
              </w:rPr>
            </w:pPr>
            <w:r w:rsidRPr="409B4C76">
              <w:rPr>
                <w:rFonts w:ascii="Aptos" w:eastAsia="Aptos" w:hAnsi="Aptos" w:cs="Aptos"/>
              </w:rPr>
              <w:t>Las partidas 1020810 y 2050100 son de uso exclusivo para depósitos y extracciones de efectivo en sucursales de empresas de cobranza extrabancarias o locales comerciales, con medio de pago 5 (efectivo) y esquema de pago 9 (propio).</w:t>
            </w:r>
          </w:p>
          <w:p w14:paraId="50EE3743" w14:textId="1BFA63BA" w:rsidR="754DBB4E" w:rsidRDefault="754DBB4E" w:rsidP="409B4C76">
            <w:pPr>
              <w:numPr>
                <w:ilvl w:val="0"/>
                <w:numId w:val="8"/>
              </w:numPr>
              <w:rPr>
                <w:rFonts w:ascii="Aptos" w:eastAsia="Aptos" w:hAnsi="Aptos" w:cs="Aptos"/>
              </w:rPr>
            </w:pPr>
            <w:r w:rsidRPr="409B4C76">
              <w:rPr>
                <w:rFonts w:ascii="Aptos" w:eastAsia="Aptos" w:hAnsi="Aptos" w:cs="Aptos"/>
              </w:rPr>
              <w:t>Para otras operatorias, como transferencias entrantes desde bancos u otros PSPCP, debe emplearse la partida que corresponda según el tipo de operación y esquema de pago definido en las tablas publicadas por el BCRA.</w:t>
            </w:r>
            <w:commentRangeEnd w:id="46"/>
            <w:r>
              <w:rPr>
                <w:rStyle w:val="Refdecomentario"/>
                <w:rFonts w:ascii="Aptos" w:eastAsia="Aptos" w:hAnsi="Aptos" w:cs="Aptos"/>
                <w:sz w:val="24"/>
                <w:szCs w:val="24"/>
              </w:rPr>
              <w:commentReference w:id="46"/>
            </w:r>
          </w:p>
        </w:tc>
      </w:tr>
      <w:tr w:rsidR="409B4C76" w14:paraId="0FDABC97" w14:textId="77777777" w:rsidTr="3157D90E">
        <w:trPr>
          <w:trHeight w:val="300"/>
        </w:trPr>
        <w:tc>
          <w:tcPr>
            <w:tcW w:w="4508" w:type="dxa"/>
          </w:tcPr>
          <w:p w14:paraId="6DE9B507" w14:textId="1881A6F6" w:rsidR="409B4C76" w:rsidRDefault="409B4C76" w:rsidP="409B4C76">
            <w:pPr>
              <w:spacing w:line="279" w:lineRule="auto"/>
              <w:rPr>
                <w:rFonts w:ascii="Aptos" w:eastAsia="Aptos" w:hAnsi="Aptos" w:cs="Aptos"/>
                <w:u w:val="single"/>
              </w:rPr>
            </w:pPr>
          </w:p>
        </w:tc>
        <w:tc>
          <w:tcPr>
            <w:tcW w:w="4508" w:type="dxa"/>
          </w:tcPr>
          <w:p w14:paraId="4421E19D" w14:textId="44BD85CD" w:rsidR="5F3707B6" w:rsidRDefault="5F3707B6" w:rsidP="409B4C76">
            <w:pPr>
              <w:rPr>
                <w:rFonts w:ascii="Aptos" w:eastAsia="Aptos" w:hAnsi="Aptos" w:cs="Aptos"/>
                <w:highlight w:val="green"/>
              </w:rPr>
            </w:pPr>
            <w:commentRangeStart w:id="47"/>
            <w:r w:rsidRPr="409B4C76">
              <w:rPr>
                <w:rFonts w:ascii="Aptos" w:eastAsia="Aptos" w:hAnsi="Aptos" w:cs="Aptos"/>
                <w:highlight w:val="green"/>
              </w:rPr>
              <w:t>Si una misma partida y medio de pago incluye operaciones con más de un esquema de pago, ¿se debe presentar una única línea totalizada o una línea separada por cada esquema?</w:t>
            </w:r>
            <w:commentRangeEnd w:id="47"/>
            <w:r>
              <w:rPr>
                <w:rStyle w:val="Refdecomentario"/>
                <w:rFonts w:ascii="Aptos" w:eastAsia="Aptos" w:hAnsi="Aptos" w:cs="Aptos"/>
                <w:sz w:val="24"/>
                <w:szCs w:val="24"/>
                <w:highlight w:val="green"/>
              </w:rPr>
              <w:commentReference w:id="47"/>
            </w:r>
          </w:p>
        </w:tc>
      </w:tr>
      <w:tr w:rsidR="409B4C76" w14:paraId="7D0B17A6" w14:textId="77777777" w:rsidTr="3157D90E">
        <w:trPr>
          <w:trHeight w:val="300"/>
        </w:trPr>
        <w:tc>
          <w:tcPr>
            <w:tcW w:w="4508" w:type="dxa"/>
          </w:tcPr>
          <w:p w14:paraId="1F106860" w14:textId="164ED4E9" w:rsidR="409B4C76" w:rsidRDefault="409B4C76" w:rsidP="409B4C76">
            <w:pPr>
              <w:spacing w:line="279" w:lineRule="auto"/>
              <w:rPr>
                <w:rFonts w:ascii="Aptos" w:eastAsia="Aptos" w:hAnsi="Aptos" w:cs="Aptos"/>
                <w:u w:val="single"/>
              </w:rPr>
            </w:pPr>
          </w:p>
        </w:tc>
        <w:tc>
          <w:tcPr>
            <w:tcW w:w="4508" w:type="dxa"/>
          </w:tcPr>
          <w:p w14:paraId="3EA123D1" w14:textId="210AA817" w:rsidR="5F3707B6" w:rsidRDefault="5F3707B6" w:rsidP="409B4C76">
            <w:pPr>
              <w:rPr>
                <w:rFonts w:ascii="Aptos" w:eastAsia="Aptos" w:hAnsi="Aptos" w:cs="Aptos"/>
              </w:rPr>
            </w:pPr>
            <w:commentRangeStart w:id="48"/>
            <w:r w:rsidRPr="409B4C76">
              <w:rPr>
                <w:rFonts w:ascii="Aptos" w:eastAsia="Aptos" w:hAnsi="Aptos" w:cs="Aptos"/>
              </w:rPr>
              <w:t xml:space="preserve">Se debe informar una línea por cada combinación distinta de partida, medio de pago y esquema de pago, indicando </w:t>
            </w:r>
            <w:r w:rsidRPr="409B4C76">
              <w:rPr>
                <w:rFonts w:ascii="Aptos" w:eastAsia="Aptos" w:hAnsi="Aptos" w:cs="Aptos"/>
              </w:rPr>
              <w:lastRenderedPageBreak/>
              <w:t>en cada caso la cantidad y el monto correspondiente. Por ejemplo, si las operaciones se realizan con esquema de pago 7 y 8, se deben presentar dos líneas separadas, una por cada esquema.</w:t>
            </w:r>
            <w:commentRangeEnd w:id="48"/>
            <w:r>
              <w:rPr>
                <w:rStyle w:val="Refdecomentario"/>
                <w:rFonts w:ascii="Aptos" w:eastAsia="Aptos" w:hAnsi="Aptos" w:cs="Aptos"/>
                <w:sz w:val="24"/>
                <w:szCs w:val="24"/>
              </w:rPr>
              <w:commentReference w:id="48"/>
            </w:r>
          </w:p>
        </w:tc>
      </w:tr>
      <w:tr w:rsidR="66779D14" w14:paraId="51AD2DBC" w14:textId="77777777" w:rsidTr="3157D90E">
        <w:trPr>
          <w:trHeight w:val="300"/>
        </w:trPr>
        <w:tc>
          <w:tcPr>
            <w:tcW w:w="4508" w:type="dxa"/>
          </w:tcPr>
          <w:p w14:paraId="5CF4C7C8" w14:textId="0241161F" w:rsidR="66779D14" w:rsidRDefault="66779D14" w:rsidP="66779D14">
            <w:pPr>
              <w:spacing w:line="279" w:lineRule="auto"/>
              <w:rPr>
                <w:rFonts w:ascii="Aptos" w:eastAsia="Aptos" w:hAnsi="Aptos" w:cs="Aptos"/>
                <w:u w:val="single"/>
              </w:rPr>
            </w:pPr>
          </w:p>
        </w:tc>
        <w:tc>
          <w:tcPr>
            <w:tcW w:w="4508" w:type="dxa"/>
          </w:tcPr>
          <w:p w14:paraId="586A0CD7" w14:textId="3B98C725" w:rsidR="66779D14" w:rsidRDefault="28953FC0" w:rsidP="07215D11">
            <w:pPr>
              <w:rPr>
                <w:rFonts w:ascii="Aptos" w:eastAsia="Aptos" w:hAnsi="Aptos" w:cs="Aptos"/>
                <w:highlight w:val="green"/>
              </w:rPr>
            </w:pPr>
            <w:commentRangeStart w:id="49"/>
            <w:r w:rsidRPr="018D3E40">
              <w:rPr>
                <w:rFonts w:ascii="Aptos" w:eastAsia="Aptos" w:hAnsi="Aptos" w:cs="Aptos"/>
                <w:highlight w:val="green"/>
              </w:rPr>
              <w:t xml:space="preserve">Cuál es la diferencia entre las partidas de “Total de clientes” (60310XX / 60320XX) y “Total de cuentas de pago” (60410XX / 60420XX)? </w:t>
            </w:r>
            <w:commentRangeEnd w:id="49"/>
            <w:r w:rsidR="66779D14">
              <w:rPr>
                <w:rStyle w:val="Refdecomentario"/>
                <w:rFonts w:ascii="Aptos" w:eastAsia="Aptos" w:hAnsi="Aptos" w:cs="Aptos"/>
                <w:sz w:val="24"/>
                <w:szCs w:val="24"/>
                <w:highlight w:val="green"/>
              </w:rPr>
              <w:commentReference w:id="49"/>
            </w:r>
          </w:p>
        </w:tc>
      </w:tr>
      <w:tr w:rsidR="66779D14" w14:paraId="193CDE30" w14:textId="77777777" w:rsidTr="3157D90E">
        <w:trPr>
          <w:trHeight w:val="300"/>
        </w:trPr>
        <w:tc>
          <w:tcPr>
            <w:tcW w:w="4508" w:type="dxa"/>
          </w:tcPr>
          <w:p w14:paraId="47280F57" w14:textId="75BF0057" w:rsidR="66779D14" w:rsidRDefault="66779D14" w:rsidP="66779D14">
            <w:pPr>
              <w:spacing w:line="279" w:lineRule="auto"/>
              <w:rPr>
                <w:rFonts w:ascii="Aptos" w:eastAsia="Aptos" w:hAnsi="Aptos" w:cs="Aptos"/>
                <w:u w:val="single"/>
              </w:rPr>
            </w:pPr>
          </w:p>
        </w:tc>
        <w:tc>
          <w:tcPr>
            <w:tcW w:w="4508" w:type="dxa"/>
          </w:tcPr>
          <w:p w14:paraId="3360CD86" w14:textId="7605CBF2" w:rsidR="66779D14" w:rsidRDefault="087AA2DF" w:rsidP="018D3E40">
            <w:pPr>
              <w:spacing w:before="240" w:after="240"/>
              <w:rPr>
                <w:rFonts w:ascii="Aptos" w:eastAsia="Aptos" w:hAnsi="Aptos" w:cs="Aptos"/>
              </w:rPr>
            </w:pPr>
            <w:commentRangeStart w:id="50"/>
            <w:r w:rsidRPr="018D3E40">
              <w:rPr>
                <w:rFonts w:ascii="Aptos" w:eastAsia="Aptos" w:hAnsi="Aptos" w:cs="Aptos"/>
              </w:rPr>
              <w:t>La diferencia radica en la unidad de medida, ya que un mismo cliente puede ser titular de múltiples cuentas dentro del mismo PSPCP.</w:t>
            </w:r>
          </w:p>
          <w:p w14:paraId="1AC7218C" w14:textId="3A4C4DA7" w:rsidR="66779D14" w:rsidRDefault="087AA2DF" w:rsidP="07215D11">
            <w:pPr>
              <w:pStyle w:val="Prrafodelista"/>
              <w:numPr>
                <w:ilvl w:val="0"/>
                <w:numId w:val="4"/>
              </w:numPr>
              <w:spacing w:before="240" w:after="240"/>
              <w:rPr>
                <w:rFonts w:ascii="Aptos" w:eastAsia="Aptos" w:hAnsi="Aptos" w:cs="Aptos"/>
              </w:rPr>
            </w:pPr>
            <w:r w:rsidRPr="07215D11">
              <w:rPr>
                <w:rFonts w:ascii="Aptos" w:eastAsia="Aptos" w:hAnsi="Aptos" w:cs="Aptos"/>
                <w:b/>
                <w:bCs/>
              </w:rPr>
              <w:t>Total de clientes (Partidas 60310XX / 60320XX):</w:t>
            </w:r>
            <w:r w:rsidRPr="07215D11">
              <w:rPr>
                <w:rFonts w:ascii="Aptos" w:eastAsia="Aptos" w:hAnsi="Aptos" w:cs="Aptos"/>
              </w:rPr>
              <w:t xml:space="preserve"> Se informa la cantidad de titulares únicos (personas humanas o jurídicas) existentes al cierre del mes, independientemente de la cantidad de cuentas que posean. </w:t>
            </w:r>
          </w:p>
          <w:p w14:paraId="6D6A84B2" w14:textId="4062E9E9" w:rsidR="66779D14" w:rsidRDefault="087AA2DF" w:rsidP="07215D11">
            <w:pPr>
              <w:pStyle w:val="Prrafodelista"/>
              <w:numPr>
                <w:ilvl w:val="0"/>
                <w:numId w:val="4"/>
              </w:numPr>
              <w:spacing w:before="240" w:after="240"/>
              <w:rPr>
                <w:rFonts w:ascii="Aptos" w:eastAsia="Aptos" w:hAnsi="Aptos" w:cs="Aptos"/>
              </w:rPr>
            </w:pPr>
            <w:r w:rsidRPr="018D3E40">
              <w:rPr>
                <w:rFonts w:ascii="Aptos" w:eastAsia="Aptos" w:hAnsi="Aptos" w:cs="Aptos"/>
                <w:b/>
                <w:bCs/>
              </w:rPr>
              <w:t>Total de cuentas de pago (Partidas 60410XX / 60420XX):</w:t>
            </w:r>
            <w:r w:rsidRPr="018D3E40">
              <w:rPr>
                <w:rFonts w:ascii="Aptos" w:eastAsia="Aptos" w:hAnsi="Aptos" w:cs="Aptos"/>
              </w:rPr>
              <w:t xml:space="preserve"> Se informa la cantidad total de cuentas de pago habilitadas (CVU) existentes al cierre del mes.</w:t>
            </w:r>
          </w:p>
          <w:p w14:paraId="54786117" w14:textId="31D224B2" w:rsidR="66779D14" w:rsidRDefault="71EF5209" w:rsidP="018D3E40">
            <w:pPr>
              <w:spacing w:before="240" w:after="240"/>
              <w:rPr>
                <w:rFonts w:ascii="Aptos" w:eastAsia="Aptos" w:hAnsi="Aptos" w:cs="Aptos"/>
              </w:rPr>
            </w:pPr>
            <w:r w:rsidRPr="018D3E40">
              <w:rPr>
                <w:rFonts w:ascii="Aptos" w:eastAsia="Aptos" w:hAnsi="Aptos" w:cs="Aptos"/>
              </w:rPr>
              <w:t>Si la política del PSP es otorgar una única cuenta por cliente, ambos valores coincidirán. Sin embargo, si existen clientes que poseen más de una cuenta de pago (por ejemplo, una cuenta para uso personal y otra para una actividad específica, o múltiples subcuentas), la cantidad informada en “Total de cuentas de pago” será superior a la de “Total de clientes”.</w:t>
            </w:r>
            <w:commentRangeEnd w:id="50"/>
            <w:r w:rsidR="66779D14">
              <w:rPr>
                <w:rStyle w:val="Refdecomentario"/>
                <w:rFonts w:ascii="Aptos" w:eastAsia="Aptos" w:hAnsi="Aptos" w:cs="Aptos"/>
                <w:sz w:val="24"/>
                <w:szCs w:val="24"/>
              </w:rPr>
              <w:commentReference w:id="50"/>
            </w:r>
          </w:p>
        </w:tc>
      </w:tr>
      <w:tr w:rsidR="559206F3" w14:paraId="0DC7175A" w14:textId="77777777" w:rsidTr="3157D90E">
        <w:trPr>
          <w:trHeight w:val="300"/>
        </w:trPr>
        <w:tc>
          <w:tcPr>
            <w:tcW w:w="4508" w:type="dxa"/>
          </w:tcPr>
          <w:p w14:paraId="1CDEB64F" w14:textId="4B00D0B4" w:rsidR="559206F3" w:rsidRDefault="559206F3" w:rsidP="559206F3">
            <w:pPr>
              <w:spacing w:line="279" w:lineRule="auto"/>
              <w:rPr>
                <w:rFonts w:ascii="Aptos" w:eastAsia="Aptos" w:hAnsi="Aptos" w:cs="Aptos"/>
                <w:u w:val="single"/>
              </w:rPr>
            </w:pPr>
          </w:p>
        </w:tc>
        <w:tc>
          <w:tcPr>
            <w:tcW w:w="4508" w:type="dxa"/>
          </w:tcPr>
          <w:p w14:paraId="7372F292" w14:textId="7C0AE986" w:rsidR="72542B42" w:rsidRDefault="72542B42" w:rsidP="559206F3">
            <w:pPr>
              <w:rPr>
                <w:rFonts w:ascii="Aptos" w:eastAsia="Aptos" w:hAnsi="Aptos" w:cs="Aptos"/>
                <w:highlight w:val="green"/>
              </w:rPr>
            </w:pPr>
            <w:r w:rsidRPr="559206F3">
              <w:rPr>
                <w:rFonts w:ascii="Aptos" w:eastAsia="Aptos" w:hAnsi="Aptos" w:cs="Aptos"/>
                <w:highlight w:val="green"/>
              </w:rPr>
              <w:t>Si el PSPCP solo realiza transferencias desde y hacia cuentas de pago de sus clientes, ¿corresponde informar únicamente las partidas de transferencias (500X000, 60130xx, 60230XX, etc.) o también deben completarse las partid</w:t>
            </w:r>
            <w:r w:rsidR="78157A45" w:rsidRPr="559206F3">
              <w:rPr>
                <w:rFonts w:ascii="Aptos" w:eastAsia="Aptos" w:hAnsi="Aptos" w:cs="Aptos"/>
                <w:highlight w:val="green"/>
              </w:rPr>
              <w:t>as de transacciones (10XXXXX, 20XXXXX)</w:t>
            </w:r>
            <w:r w:rsidR="411C5BC2" w:rsidRPr="559206F3">
              <w:rPr>
                <w:rFonts w:ascii="Aptos" w:eastAsia="Aptos" w:hAnsi="Aptos" w:cs="Aptos"/>
                <w:highlight w:val="green"/>
              </w:rPr>
              <w:t>?</w:t>
            </w:r>
          </w:p>
        </w:tc>
      </w:tr>
      <w:tr w:rsidR="559206F3" w14:paraId="1EBBA142" w14:textId="77777777" w:rsidTr="3157D90E">
        <w:trPr>
          <w:trHeight w:val="300"/>
        </w:trPr>
        <w:tc>
          <w:tcPr>
            <w:tcW w:w="4508" w:type="dxa"/>
          </w:tcPr>
          <w:p w14:paraId="2B4DDD4A" w14:textId="6DF0A4B0" w:rsidR="559206F3" w:rsidRDefault="559206F3" w:rsidP="559206F3">
            <w:pPr>
              <w:spacing w:line="279" w:lineRule="auto"/>
              <w:rPr>
                <w:rFonts w:ascii="Aptos" w:eastAsia="Aptos" w:hAnsi="Aptos" w:cs="Aptos"/>
                <w:u w:val="single"/>
              </w:rPr>
            </w:pPr>
          </w:p>
        </w:tc>
        <w:tc>
          <w:tcPr>
            <w:tcW w:w="4508" w:type="dxa"/>
          </w:tcPr>
          <w:p w14:paraId="66407D14" w14:textId="44E069C4" w:rsidR="19463FA4" w:rsidRDefault="19463FA4" w:rsidP="559206F3">
            <w:pPr>
              <w:spacing w:before="240" w:after="240"/>
            </w:pPr>
            <w:r w:rsidRPr="559206F3">
              <w:rPr>
                <w:rFonts w:ascii="Aptos" w:eastAsia="Aptos" w:hAnsi="Aptos" w:cs="Aptos"/>
              </w:rPr>
              <w:t xml:space="preserve">Las transferencias </w:t>
            </w:r>
            <w:r w:rsidRPr="559206F3">
              <w:rPr>
                <w:rFonts w:ascii="Aptos" w:eastAsia="Aptos" w:hAnsi="Aptos" w:cs="Aptos"/>
                <w:b/>
                <w:bCs/>
              </w:rPr>
              <w:t>no se informan solo</w:t>
            </w:r>
            <w:r w:rsidRPr="559206F3">
              <w:rPr>
                <w:rFonts w:ascii="Aptos" w:eastAsia="Aptos" w:hAnsi="Aptos" w:cs="Aptos"/>
              </w:rPr>
              <w:t xml:space="preserve"> en el cuadro de “Transferencias”. Aun cuando el PSPCP solo opere con transferencias, esas operaciones forman parte de las transacciones del Apartado B. </w:t>
            </w:r>
          </w:p>
          <w:p w14:paraId="0DD95A37" w14:textId="3EEEC145" w:rsidR="5A327ED0" w:rsidRDefault="5A327ED0" w:rsidP="559206F3">
            <w:pPr>
              <w:spacing w:before="240" w:after="240"/>
            </w:pPr>
            <w:r w:rsidRPr="559206F3">
              <w:rPr>
                <w:rFonts w:ascii="Aptos" w:eastAsia="Aptos" w:hAnsi="Aptos" w:cs="Aptos"/>
                <w:color w:val="000000" w:themeColor="text1"/>
              </w:rPr>
              <w:t>Las transferencias deben informarse tanto en el cuadro de "</w:t>
            </w:r>
            <w:r w:rsidRPr="559206F3">
              <w:rPr>
                <w:rFonts w:ascii="Aptos" w:eastAsia="Aptos" w:hAnsi="Aptos" w:cs="Aptos"/>
                <w:color w:val="000000" w:themeColor="text1"/>
                <w:u w:val="single"/>
              </w:rPr>
              <w:t>Transferencias</w:t>
            </w:r>
            <w:r w:rsidRPr="559206F3">
              <w:rPr>
                <w:rFonts w:ascii="Aptos" w:eastAsia="Aptos" w:hAnsi="Aptos" w:cs="Aptos"/>
                <w:color w:val="000000" w:themeColor="text1"/>
              </w:rPr>
              <w:t>" (partidas 500X000) y en forma desagregada tanto en las partidas 10XXXXX (créditos) y 20XXXXX (débitos)</w:t>
            </w:r>
            <w:r w:rsidR="1A0F2A09" w:rsidRPr="559206F3">
              <w:rPr>
                <w:rFonts w:ascii="Aptos" w:eastAsia="Aptos" w:hAnsi="Aptos" w:cs="Aptos"/>
                <w:color w:val="000000" w:themeColor="text1"/>
              </w:rPr>
              <w:t>-</w:t>
            </w:r>
            <w:r w:rsidRPr="559206F3">
              <w:rPr>
                <w:rFonts w:ascii="Aptos" w:eastAsia="Aptos" w:hAnsi="Aptos" w:cs="Aptos"/>
                <w:color w:val="000000" w:themeColor="text1"/>
              </w:rPr>
              <w:t xml:space="preserve">cuadro de </w:t>
            </w:r>
            <w:r w:rsidRPr="559206F3">
              <w:rPr>
                <w:rFonts w:ascii="Aptos" w:eastAsia="Aptos" w:hAnsi="Aptos" w:cs="Aptos"/>
                <w:color w:val="000000" w:themeColor="text1"/>
                <w:u w:val="single"/>
              </w:rPr>
              <w:t>transacciones</w:t>
            </w:r>
            <w:r w:rsidR="0ED2ABF0" w:rsidRPr="559206F3">
              <w:rPr>
                <w:rFonts w:ascii="Aptos" w:eastAsia="Aptos" w:hAnsi="Aptos" w:cs="Aptos"/>
                <w:color w:val="000000" w:themeColor="text1"/>
                <w:u w:val="single"/>
              </w:rPr>
              <w:t>-</w:t>
            </w:r>
            <w:r w:rsidRPr="559206F3">
              <w:rPr>
                <w:rFonts w:ascii="Aptos" w:eastAsia="Aptos" w:hAnsi="Aptos" w:cs="Aptos"/>
                <w:color w:val="000000" w:themeColor="text1"/>
              </w:rPr>
              <w:t xml:space="preserve">, según corresponda, y de acuerdo con las tablas 1 “Medios de pago” (transferencias inmediatas “push” o “pull”) y 2 “Esquemas de pago” (transferencias bancarias desde/hacia CBU o CVU). </w:t>
            </w:r>
            <w:r w:rsidRPr="559206F3">
              <w:rPr>
                <w:rFonts w:ascii="Aptos" w:eastAsia="Aptos" w:hAnsi="Aptos" w:cs="Aptos"/>
              </w:rPr>
              <w:t xml:space="preserve"> </w:t>
            </w:r>
          </w:p>
          <w:p w14:paraId="5A60A5F8" w14:textId="1AE1A8CC" w:rsidR="5A327ED0" w:rsidRDefault="5A327ED0" w:rsidP="559206F3">
            <w:pPr>
              <w:spacing w:before="240" w:after="240"/>
              <w:rPr>
                <w:rFonts w:ascii="Aptos" w:eastAsia="Aptos" w:hAnsi="Aptos" w:cs="Aptos"/>
              </w:rPr>
            </w:pPr>
            <w:r w:rsidRPr="559206F3">
              <w:rPr>
                <w:rFonts w:ascii="Aptos" w:eastAsia="Aptos" w:hAnsi="Aptos" w:cs="Aptos"/>
                <w:color w:val="000000" w:themeColor="text1"/>
              </w:rPr>
              <w:t xml:space="preserve">La información de las partidas 500X000 debe </w:t>
            </w:r>
            <w:r w:rsidR="3F243891" w:rsidRPr="559206F3">
              <w:rPr>
                <w:rFonts w:ascii="Aptos" w:eastAsia="Aptos" w:hAnsi="Aptos" w:cs="Aptos"/>
                <w:color w:val="000000" w:themeColor="text1"/>
              </w:rPr>
              <w:t>completarse</w:t>
            </w:r>
            <w:r w:rsidRPr="559206F3">
              <w:rPr>
                <w:rFonts w:ascii="Aptos" w:eastAsia="Aptos" w:hAnsi="Aptos" w:cs="Aptos"/>
                <w:color w:val="000000" w:themeColor="text1"/>
              </w:rPr>
              <w:t xml:space="preserve"> con las transferencias que se realicen a través de CVU y no s</w:t>
            </w:r>
            <w:r w:rsidR="15B11033" w:rsidRPr="559206F3">
              <w:rPr>
                <w:rFonts w:ascii="Aptos" w:eastAsia="Aptos" w:hAnsi="Aptos" w:cs="Aptos"/>
                <w:color w:val="000000" w:themeColor="text1"/>
              </w:rPr>
              <w:t>ean</w:t>
            </w:r>
            <w:r w:rsidRPr="559206F3">
              <w:rPr>
                <w:rFonts w:ascii="Aptos" w:eastAsia="Aptos" w:hAnsi="Aptos" w:cs="Aptos"/>
                <w:color w:val="000000" w:themeColor="text1"/>
              </w:rPr>
              <w:t xml:space="preserve"> administradas por el PSPCP. Es decir, quedan excluidas todas aquellas otras transferencias realizadas mediante algún esquema propio del PSPCP que no hubieran sido cursadas a través de una CVU, por ejemplo: número de teléfono, correo electrónico, etc. </w:t>
            </w:r>
            <w:r w:rsidRPr="559206F3">
              <w:rPr>
                <w:rFonts w:ascii="Aptos" w:eastAsia="Aptos" w:hAnsi="Aptos" w:cs="Aptos"/>
              </w:rPr>
              <w:t xml:space="preserve"> </w:t>
            </w:r>
          </w:p>
          <w:p w14:paraId="0F7DF6EA" w14:textId="7164F43E" w:rsidR="5A327ED0" w:rsidRDefault="5A327ED0" w:rsidP="559206F3">
            <w:pPr>
              <w:shd w:val="clear" w:color="auto" w:fill="FFFFFF" w:themeFill="background1"/>
            </w:pPr>
            <w:r w:rsidRPr="559206F3">
              <w:rPr>
                <w:rFonts w:ascii="Aptos" w:eastAsia="Aptos" w:hAnsi="Aptos" w:cs="Aptos"/>
                <w:color w:val="000000" w:themeColor="text1"/>
              </w:rPr>
              <w:t>Las transferencias efectuadas mediante esquemas de pago propio deben ser incluidas en las partidas 10XXXXX (créditos) y 20XXXXX (débitos), según corresponda, como transferencias “push” / “pull”.</w:t>
            </w:r>
          </w:p>
        </w:tc>
      </w:tr>
      <w:tr w:rsidR="001F4F65" w14:paraId="29A52BCB" w14:textId="77777777" w:rsidTr="3157D90E">
        <w:trPr>
          <w:trHeight w:val="300"/>
        </w:trPr>
        <w:tc>
          <w:tcPr>
            <w:tcW w:w="4508" w:type="dxa"/>
          </w:tcPr>
          <w:p w14:paraId="00C216CA" w14:textId="77777777" w:rsidR="001F4F65" w:rsidRDefault="001F4F65" w:rsidP="559206F3">
            <w:pPr>
              <w:rPr>
                <w:rFonts w:ascii="Aptos" w:eastAsia="Aptos" w:hAnsi="Aptos" w:cs="Aptos"/>
                <w:u w:val="single"/>
              </w:rPr>
            </w:pPr>
          </w:p>
        </w:tc>
        <w:tc>
          <w:tcPr>
            <w:tcW w:w="4508" w:type="dxa"/>
          </w:tcPr>
          <w:p w14:paraId="1903D22A" w14:textId="77777777" w:rsidR="001F4F65" w:rsidRDefault="001F4F65" w:rsidP="001F4F65">
            <w:pPr>
              <w:rPr>
                <w:b/>
                <w:highlight w:val="yellow"/>
              </w:rPr>
            </w:pPr>
            <w:commentRangeStart w:id="51"/>
            <w:r w:rsidRPr="001F4F65">
              <w:rPr>
                <w:b/>
                <w:highlight w:val="yellow"/>
              </w:rPr>
              <w:t>En el Apartado B, cuando se informa un crédito o débito en las partidas 10XXXXX / 20XXXXX (por ejemplo, una operación con QR en la partida 10102XX), ¿corresponde además replicar la operación en las partidas de Transferencias (500X000), o se estaría duplicando información?</w:t>
            </w:r>
            <w:commentRangeEnd w:id="51"/>
            <w:r>
              <w:rPr>
                <w:rStyle w:val="Refdecomentario"/>
                <w:b/>
                <w:sz w:val="24"/>
                <w:szCs w:val="24"/>
                <w:highlight w:val="yellow"/>
              </w:rPr>
              <w:commentReference w:id="51"/>
            </w:r>
          </w:p>
          <w:p w14:paraId="561311CC" w14:textId="77777777" w:rsidR="001F4F65" w:rsidRDefault="001F4F65" w:rsidP="001F4F65">
            <w:pPr>
              <w:rPr>
                <w:highlight w:val="yellow"/>
              </w:rPr>
            </w:pPr>
          </w:p>
          <w:p w14:paraId="27409E70" w14:textId="3962D4E9" w:rsidR="001F4F65" w:rsidRPr="009F38B1" w:rsidRDefault="009F38B1" w:rsidP="001F4F65">
            <w:r w:rsidRPr="009F38B1">
              <w:rPr>
                <w:b/>
                <w:bCs/>
              </w:rPr>
              <w:t>RESPUESTA:</w:t>
            </w:r>
            <w:r>
              <w:t xml:space="preserve"> </w:t>
            </w:r>
            <w:r w:rsidR="001F4F65" w:rsidRPr="009F38B1">
              <w:t xml:space="preserve">No se trata de una duplicación, sino de un doble desglose </w:t>
            </w:r>
            <w:r w:rsidR="001F4F65" w:rsidRPr="009F38B1">
              <w:lastRenderedPageBreak/>
              <w:t>previsto en el régimen. La información incluida en las partidas de Transferencias (500X000) deberá ser reportada en forma desagregada dentro de las partidas 10XXXXX (créditos) y 20XXXXX (débitos): cualquier operación que califique como transferencia debe figurar tanto en el bloque de transferencias como en el bloque de créditos o débitos por método de iniciación.</w:t>
            </w:r>
          </w:p>
          <w:p w14:paraId="5370E7A3" w14:textId="77777777" w:rsidR="001F4F65" w:rsidRPr="009F38B1" w:rsidRDefault="001F4F65" w:rsidP="001F4F65">
            <w:r w:rsidRPr="009F38B1">
              <w:t>Cada bloque clasifica la operación por un eje distinto:</w:t>
            </w:r>
          </w:p>
          <w:p w14:paraId="5D0027B9" w14:textId="77777777" w:rsidR="001F4F65" w:rsidRPr="009F38B1" w:rsidRDefault="001F4F65" w:rsidP="001F4F65">
            <w:r w:rsidRPr="009F38B1">
              <w:t>Las partidas 10XXXXX / 20XXXXX clasifican la operación por su método de iniciación (por ejemplo, escaneo de código QR, botón de pago, etc.) y tipo de cuenta (comercial o personal).</w:t>
            </w:r>
          </w:p>
          <w:p w14:paraId="31A388FD" w14:textId="77777777" w:rsidR="001F4F65" w:rsidRPr="009F38B1" w:rsidRDefault="001F4F65" w:rsidP="001F4F65">
            <w:r w:rsidRPr="009F38B1">
              <w:t>Las partidas 500X000 clasifican la operación por su flujo origen/destino (por ejemplo, de CBU a CVU, de CVU a CVU, etc.).</w:t>
            </w:r>
          </w:p>
          <w:p w14:paraId="4F67C69F" w14:textId="4E7D228E" w:rsidR="001F4F65" w:rsidRPr="009F38B1" w:rsidRDefault="001F4F65" w:rsidP="001F4F65">
            <w:r w:rsidRPr="009F38B1">
              <w:t>Cabe recordar que las partidas 500X000 se completan únicamente con transferencias cursadas a través de una CVU no administrada por el PSPCP. Las transferencias realizadas mediante esquemas propios del PSPCP que no se hubieran cursado por CVU (por ejemplo, identificación por teléfono o correo electrónico) se informan exclusivamente en las partidas 10XXXXX / 20XXXXX.</w:t>
            </w:r>
          </w:p>
          <w:p w14:paraId="30F106F8" w14:textId="222DBAE6" w:rsidR="001F4F65" w:rsidRPr="559206F3" w:rsidRDefault="001F4F65" w:rsidP="559206F3">
            <w:pPr>
              <w:spacing w:before="240" w:after="240"/>
              <w:rPr>
                <w:rFonts w:ascii="Aptos" w:eastAsia="Aptos" w:hAnsi="Aptos" w:cs="Aptos"/>
              </w:rPr>
            </w:pPr>
          </w:p>
        </w:tc>
      </w:tr>
      <w:tr w:rsidR="559206F3" w14:paraId="1B87E894" w14:textId="77777777" w:rsidTr="3157D90E">
        <w:trPr>
          <w:trHeight w:val="300"/>
        </w:trPr>
        <w:tc>
          <w:tcPr>
            <w:tcW w:w="4508" w:type="dxa"/>
          </w:tcPr>
          <w:p w14:paraId="1571A7C9" w14:textId="6FAF57FF" w:rsidR="559206F3" w:rsidRDefault="559206F3" w:rsidP="559206F3">
            <w:pPr>
              <w:spacing w:line="279" w:lineRule="auto"/>
              <w:rPr>
                <w:rFonts w:ascii="Aptos" w:eastAsia="Aptos" w:hAnsi="Aptos" w:cs="Aptos"/>
                <w:u w:val="single"/>
              </w:rPr>
            </w:pPr>
          </w:p>
        </w:tc>
        <w:tc>
          <w:tcPr>
            <w:tcW w:w="4508" w:type="dxa"/>
          </w:tcPr>
          <w:p w14:paraId="18953318" w14:textId="55616795" w:rsidR="375CFB6B" w:rsidRDefault="375CFB6B" w:rsidP="559206F3">
            <w:pPr>
              <w:rPr>
                <w:rFonts w:ascii="Aptos" w:eastAsia="Aptos" w:hAnsi="Aptos" w:cs="Aptos"/>
                <w:highlight w:val="green"/>
              </w:rPr>
            </w:pPr>
            <w:commentRangeStart w:id="52"/>
            <w:r w:rsidRPr="559206F3">
              <w:rPr>
                <w:rFonts w:ascii="Aptos" w:eastAsia="Aptos" w:hAnsi="Aptos" w:cs="Aptos"/>
                <w:highlight w:val="green"/>
              </w:rPr>
              <w:t>¿Con referencia al campo "Medios de Pago", existe una categoría particular para pago de Impuestos y Servicios desde la billetera?</w:t>
            </w:r>
            <w:commentRangeEnd w:id="52"/>
            <w:r>
              <w:rPr>
                <w:rStyle w:val="Refdecomentario"/>
                <w:rFonts w:ascii="Aptos" w:eastAsia="Aptos" w:hAnsi="Aptos" w:cs="Aptos"/>
                <w:sz w:val="24"/>
                <w:szCs w:val="24"/>
                <w:highlight w:val="green"/>
              </w:rPr>
              <w:commentReference w:id="52"/>
            </w:r>
          </w:p>
        </w:tc>
      </w:tr>
      <w:tr w:rsidR="559206F3" w14:paraId="1A3B35E8" w14:textId="77777777" w:rsidTr="3157D90E">
        <w:trPr>
          <w:trHeight w:val="300"/>
        </w:trPr>
        <w:tc>
          <w:tcPr>
            <w:tcW w:w="4508" w:type="dxa"/>
          </w:tcPr>
          <w:p w14:paraId="087B315A" w14:textId="491BBFB7" w:rsidR="559206F3" w:rsidRDefault="559206F3" w:rsidP="559206F3">
            <w:pPr>
              <w:spacing w:line="279" w:lineRule="auto"/>
              <w:rPr>
                <w:rFonts w:ascii="Aptos" w:eastAsia="Aptos" w:hAnsi="Aptos" w:cs="Aptos"/>
                <w:u w:val="single"/>
              </w:rPr>
            </w:pPr>
          </w:p>
        </w:tc>
        <w:tc>
          <w:tcPr>
            <w:tcW w:w="4508" w:type="dxa"/>
          </w:tcPr>
          <w:p w14:paraId="3FB9720F" w14:textId="225CFBF6" w:rsidR="656817D5" w:rsidRDefault="656817D5" w:rsidP="559206F3">
            <w:pPr>
              <w:rPr>
                <w:rFonts w:ascii="Aptos" w:eastAsia="Aptos" w:hAnsi="Aptos" w:cs="Aptos"/>
              </w:rPr>
            </w:pPr>
            <w:r w:rsidRPr="559206F3">
              <w:rPr>
                <w:rFonts w:ascii="Aptos" w:eastAsia="Aptos" w:hAnsi="Aptos" w:cs="Aptos"/>
              </w:rPr>
              <w:t>Entendemos que no existe una categoría específica de “pagos de impuestos y servicios” dentro del campo “Medios de pago”. Ese tipo de operación se identifica a través del código de concepto, mientras que el medio de pago se selecciona de la Tabla 1 del Apartado B.</w:t>
            </w:r>
          </w:p>
        </w:tc>
      </w:tr>
      <w:tr w:rsidR="009458B0" w14:paraId="583325B2" w14:textId="77777777" w:rsidTr="3157D90E">
        <w:trPr>
          <w:trHeight w:val="300"/>
        </w:trPr>
        <w:tc>
          <w:tcPr>
            <w:tcW w:w="4508" w:type="dxa"/>
          </w:tcPr>
          <w:p w14:paraId="43CE8C94" w14:textId="77777777" w:rsidR="009458B0" w:rsidRDefault="009458B0" w:rsidP="559206F3">
            <w:pPr>
              <w:rPr>
                <w:rFonts w:ascii="Aptos" w:eastAsia="Aptos" w:hAnsi="Aptos" w:cs="Aptos"/>
                <w:u w:val="single"/>
              </w:rPr>
            </w:pPr>
          </w:p>
        </w:tc>
        <w:tc>
          <w:tcPr>
            <w:tcW w:w="4508" w:type="dxa"/>
          </w:tcPr>
          <w:p w14:paraId="746B2EE1" w14:textId="77777777" w:rsidR="009458B0" w:rsidRDefault="009458B0" w:rsidP="009458B0">
            <w:pPr>
              <w:rPr>
                <w:b/>
                <w:highlight w:val="yellow"/>
              </w:rPr>
            </w:pPr>
            <w:commentRangeStart w:id="53"/>
            <w:r w:rsidRPr="009458B0">
              <w:rPr>
                <w:b/>
                <w:highlight w:val="yellow"/>
              </w:rPr>
              <w:t>En el Apartado B, ¿con qué código de medio de pago de la Tabla 1 debe informarse el DEBIN Programado, dado que la tabla no contempla un código específico con ese nombre?</w:t>
            </w:r>
            <w:commentRangeEnd w:id="53"/>
            <w:r>
              <w:rPr>
                <w:rStyle w:val="Refdecomentario"/>
                <w:b/>
                <w:sz w:val="24"/>
                <w:szCs w:val="24"/>
                <w:highlight w:val="yellow"/>
              </w:rPr>
              <w:commentReference w:id="53"/>
            </w:r>
          </w:p>
          <w:p w14:paraId="3D0B1BC4" w14:textId="77777777" w:rsidR="009458B0" w:rsidRDefault="009458B0" w:rsidP="009458B0">
            <w:pPr>
              <w:rPr>
                <w:highlight w:val="yellow"/>
              </w:rPr>
            </w:pPr>
          </w:p>
          <w:p w14:paraId="7C906E8A" w14:textId="77777777" w:rsidR="009458B0" w:rsidRPr="009458B0" w:rsidRDefault="009458B0" w:rsidP="009458B0">
            <w:pPr>
              <w:rPr>
                <w:highlight w:val="yellow"/>
              </w:rPr>
            </w:pPr>
            <w:r w:rsidRPr="009458B0">
              <w:rPr>
                <w:highlight w:val="yellow"/>
              </w:rPr>
              <w:t>Respuesta: De acuerdo con el punto 1.1.2 del Texto Ordenado “Sistema Nacional de Pagos – Débito Inmediato” (https://www.bcra.gob.ar/archivos/Pdfs/Texord/t-snp-debin.pdf), existen dos modalidades de DEBIN:</w:t>
            </w:r>
          </w:p>
          <w:p w14:paraId="7B431807" w14:textId="77777777" w:rsidR="009458B0" w:rsidRPr="009458B0" w:rsidRDefault="009458B0" w:rsidP="009458B0">
            <w:pPr>
              <w:rPr>
                <w:highlight w:val="yellow"/>
              </w:rPr>
            </w:pPr>
            <w:r w:rsidRPr="009458B0">
              <w:rPr>
                <w:highlight w:val="yellow"/>
              </w:rPr>
              <w:t>Spot u ocasional: DEBIN originado de forma ocasional por un monto determinado, que en cada caso requiere la autorización expresa del cliente receptor.</w:t>
            </w:r>
          </w:p>
          <w:p w14:paraId="6B621090" w14:textId="77777777" w:rsidR="009458B0" w:rsidRPr="009458B0" w:rsidRDefault="009458B0" w:rsidP="009458B0">
            <w:pPr>
              <w:rPr>
                <w:highlight w:val="yellow"/>
              </w:rPr>
            </w:pPr>
            <w:r w:rsidRPr="009458B0">
              <w:rPr>
                <w:highlight w:val="yellow"/>
              </w:rPr>
              <w:t>Recurrente: DEBIN originado para pagos recurrentes y/o de relacionamiento frecuente, que no requiere para cada débito la autorización específica del cliente receptor por estar adherido a la operatoria. Esta modalidad cuenta con la variante denominada “DEBIN Programado”, diseñada para pagar la adquisición de bienes o servicios en una cantidad preestablecida de cuotas fijas.</w:t>
            </w:r>
          </w:p>
          <w:p w14:paraId="6A459247" w14:textId="77777777" w:rsidR="009458B0" w:rsidRPr="009458B0" w:rsidRDefault="009458B0" w:rsidP="009458B0">
            <w:pPr>
              <w:rPr>
                <w:highlight w:val="yellow"/>
              </w:rPr>
            </w:pPr>
            <w:r w:rsidRPr="009458B0">
              <w:rPr>
                <w:highlight w:val="yellow"/>
              </w:rPr>
              <w:t>En la Tabla 1 del RI (punto III.3 – Tablas complementarias) ambas modalidades cuentan con código propio: 9 – Débito inmediato Spot y 10 – Débito inmediato Recurrente.</w:t>
            </w:r>
          </w:p>
          <w:p w14:paraId="3AB2D27E" w14:textId="3AFBD5CB" w:rsidR="009458B0" w:rsidRPr="009458B0" w:rsidRDefault="009458B0" w:rsidP="009458B0">
            <w:pPr>
              <w:rPr>
                <w:highlight w:val="yellow"/>
              </w:rPr>
            </w:pPr>
            <w:r w:rsidRPr="009458B0">
              <w:rPr>
                <w:highlight w:val="yellow"/>
              </w:rPr>
              <w:t>Dado que el DEBIN Programado es una variante de la modalidad Recurrente, debe informarse con el código 10 – Débito inmediato Recurrente.</w:t>
            </w:r>
          </w:p>
          <w:p w14:paraId="65F3E207" w14:textId="7540315E" w:rsidR="009458B0" w:rsidRPr="559206F3" w:rsidRDefault="009458B0" w:rsidP="559206F3">
            <w:pPr>
              <w:rPr>
                <w:rFonts w:ascii="Aptos" w:eastAsia="Aptos" w:hAnsi="Aptos" w:cs="Aptos"/>
              </w:rPr>
            </w:pPr>
          </w:p>
        </w:tc>
      </w:tr>
      <w:tr w:rsidR="009458B0" w14:paraId="082C035B" w14:textId="77777777" w:rsidTr="3157D90E">
        <w:trPr>
          <w:trHeight w:val="300"/>
        </w:trPr>
        <w:tc>
          <w:tcPr>
            <w:tcW w:w="4508" w:type="dxa"/>
          </w:tcPr>
          <w:p w14:paraId="35643016" w14:textId="77777777" w:rsidR="009458B0" w:rsidRDefault="009458B0" w:rsidP="559206F3">
            <w:pPr>
              <w:rPr>
                <w:rFonts w:ascii="Aptos" w:eastAsia="Aptos" w:hAnsi="Aptos" w:cs="Aptos"/>
                <w:u w:val="single"/>
              </w:rPr>
            </w:pPr>
          </w:p>
        </w:tc>
        <w:tc>
          <w:tcPr>
            <w:tcW w:w="4508" w:type="dxa"/>
          </w:tcPr>
          <w:p w14:paraId="5C6F8108" w14:textId="77777777" w:rsidR="009458B0" w:rsidRDefault="009458B0" w:rsidP="009458B0">
            <w:pPr>
              <w:rPr>
                <w:b/>
                <w:highlight w:val="yellow"/>
              </w:rPr>
            </w:pPr>
            <w:commentRangeStart w:id="54"/>
            <w:r w:rsidRPr="009458B0">
              <w:rPr>
                <w:b/>
                <w:highlight w:val="yellow"/>
              </w:rPr>
              <w:t xml:space="preserve">En el Apartado B, los créditos en cuenta de pago propia se clasifican según el método de iniciación (ApMovil-QR, ApWeb-Botón de pago, etc.). El DEBIN Programado no encuadra técnicamente en ninguna de esas opciones (no es QR, ni botón de pago tradicional, ni TPV). ¿Corresponde entonces informarlo </w:t>
            </w:r>
            <w:r w:rsidRPr="009458B0">
              <w:rPr>
                <w:b/>
                <w:highlight w:val="yellow"/>
              </w:rPr>
              <w:lastRenderedPageBreak/>
              <w:t>bajo la opción “No disponible / No conocida” (10199XX / 10299XX)?</w:t>
            </w:r>
            <w:commentRangeEnd w:id="54"/>
            <w:r>
              <w:rPr>
                <w:rStyle w:val="Refdecomentario"/>
                <w:b/>
                <w:sz w:val="24"/>
                <w:szCs w:val="24"/>
                <w:highlight w:val="yellow"/>
              </w:rPr>
              <w:commentReference w:id="54"/>
            </w:r>
          </w:p>
          <w:p w14:paraId="3D78B421" w14:textId="77777777" w:rsidR="009458B0" w:rsidRDefault="009458B0" w:rsidP="009458B0">
            <w:pPr>
              <w:rPr>
                <w:highlight w:val="yellow"/>
              </w:rPr>
            </w:pPr>
          </w:p>
          <w:p w14:paraId="126017F6" w14:textId="77777777" w:rsidR="009458B0" w:rsidRPr="009458B0" w:rsidRDefault="009458B0" w:rsidP="009458B0">
            <w:pPr>
              <w:rPr>
                <w:highlight w:val="yellow"/>
              </w:rPr>
            </w:pPr>
            <w:r w:rsidRPr="009458B0">
              <w:rPr>
                <w:highlight w:val="yellow"/>
              </w:rPr>
              <w:t>Respuesta: El débito inmediato (DEBIN) es un mecanismo de transferencias inmediatas que debita la cuenta del cliente, y se instrumenta a través de banca por Internet, banca móvil, así como en las interfaces provistas por los PSPCP y en los demás canales que disponga el BCRA.</w:t>
            </w:r>
          </w:p>
          <w:p w14:paraId="0974C9EC" w14:textId="77777777" w:rsidR="009458B0" w:rsidRPr="009458B0" w:rsidRDefault="009458B0" w:rsidP="009458B0">
            <w:pPr>
              <w:rPr>
                <w:highlight w:val="yellow"/>
              </w:rPr>
            </w:pPr>
            <w:r w:rsidRPr="009458B0">
              <w:rPr>
                <w:highlight w:val="yellow"/>
              </w:rPr>
              <w:t>A partir de lo expuesto, el DEBIN puede ser informado en las siguientes partidas (no corresponde utilizar “No disponible / No conocida”):</w:t>
            </w:r>
          </w:p>
          <w:p w14:paraId="5CEE807E" w14:textId="77777777" w:rsidR="009458B0" w:rsidRPr="009458B0" w:rsidRDefault="009458B0" w:rsidP="009458B0">
            <w:pPr>
              <w:rPr>
                <w:highlight w:val="yellow"/>
              </w:rPr>
            </w:pPr>
            <w:r w:rsidRPr="009458B0">
              <w:rPr>
                <w:highlight w:val="yellow"/>
              </w:rPr>
              <w:t>Cuenta de pago propia – Comercial:</w:t>
            </w:r>
          </w:p>
          <w:p w14:paraId="03AF6133" w14:textId="77777777" w:rsidR="009458B0" w:rsidRPr="009458B0" w:rsidRDefault="009458B0" w:rsidP="009458B0">
            <w:pPr>
              <w:rPr>
                <w:highlight w:val="yellow"/>
              </w:rPr>
            </w:pPr>
            <w:r w:rsidRPr="009458B0">
              <w:rPr>
                <w:highlight w:val="yellow"/>
              </w:rPr>
              <w:t>10103XX – ApMovil-Botón de pago.</w:t>
            </w:r>
          </w:p>
          <w:p w14:paraId="5A6EF400" w14:textId="77777777" w:rsidR="009458B0" w:rsidRPr="009458B0" w:rsidRDefault="009458B0" w:rsidP="009458B0">
            <w:pPr>
              <w:rPr>
                <w:highlight w:val="yellow"/>
              </w:rPr>
            </w:pPr>
            <w:r w:rsidRPr="009458B0">
              <w:rPr>
                <w:highlight w:val="yellow"/>
              </w:rPr>
              <w:t>10104XX – ApWeb-Botón de pago.</w:t>
            </w:r>
          </w:p>
          <w:p w14:paraId="432D7D4E" w14:textId="77777777" w:rsidR="009458B0" w:rsidRPr="009458B0" w:rsidRDefault="009458B0" w:rsidP="009458B0">
            <w:pPr>
              <w:rPr>
                <w:highlight w:val="yellow"/>
              </w:rPr>
            </w:pPr>
            <w:r w:rsidRPr="009458B0">
              <w:rPr>
                <w:highlight w:val="yellow"/>
              </w:rPr>
              <w:t>Cuenta de pago propia – Personal/No comercial:</w:t>
            </w:r>
          </w:p>
          <w:p w14:paraId="715114BA" w14:textId="77777777" w:rsidR="009458B0" w:rsidRPr="009458B0" w:rsidRDefault="009458B0" w:rsidP="009458B0">
            <w:pPr>
              <w:rPr>
                <w:highlight w:val="yellow"/>
              </w:rPr>
            </w:pPr>
            <w:r w:rsidRPr="009458B0">
              <w:rPr>
                <w:highlight w:val="yellow"/>
              </w:rPr>
              <w:t>10203XX – ApMovil-Botón de pago.</w:t>
            </w:r>
          </w:p>
          <w:p w14:paraId="2B39E6BD" w14:textId="77777777" w:rsidR="009458B0" w:rsidRPr="009458B0" w:rsidRDefault="009458B0" w:rsidP="009458B0">
            <w:pPr>
              <w:rPr>
                <w:highlight w:val="yellow"/>
              </w:rPr>
            </w:pPr>
            <w:r w:rsidRPr="009458B0">
              <w:rPr>
                <w:highlight w:val="yellow"/>
              </w:rPr>
              <w:t>10204XX – ApWeb-Botón de pago.</w:t>
            </w:r>
          </w:p>
          <w:p w14:paraId="08456009" w14:textId="4A61F67D" w:rsidR="009458B0" w:rsidRPr="009458B0" w:rsidRDefault="009458B0" w:rsidP="009458B0">
            <w:pPr>
              <w:rPr>
                <w:highlight w:val="yellow"/>
              </w:rPr>
            </w:pPr>
            <w:r w:rsidRPr="009458B0">
              <w:rPr>
                <w:highlight w:val="yellow"/>
              </w:rPr>
              <w:t>Referencia de los dos últimos dígitos (XX): 10 = personas humanas; 20 = personas jurídicas.</w:t>
            </w:r>
          </w:p>
          <w:p w14:paraId="5F9592C2" w14:textId="6619D676" w:rsidR="009458B0" w:rsidRPr="009458B0" w:rsidRDefault="009458B0" w:rsidP="009458B0">
            <w:pPr>
              <w:rPr>
                <w:b/>
                <w:highlight w:val="yellow"/>
              </w:rPr>
            </w:pPr>
          </w:p>
        </w:tc>
      </w:tr>
      <w:tr w:rsidR="003C1F79" w14:paraId="2C8B5AE3" w14:textId="77777777" w:rsidTr="3157D90E">
        <w:trPr>
          <w:trHeight w:val="300"/>
        </w:trPr>
        <w:tc>
          <w:tcPr>
            <w:tcW w:w="4508" w:type="dxa"/>
          </w:tcPr>
          <w:p w14:paraId="39031A54" w14:textId="77777777" w:rsidR="003C1F79" w:rsidRDefault="003C1F79" w:rsidP="559206F3">
            <w:pPr>
              <w:rPr>
                <w:rFonts w:ascii="Aptos" w:eastAsia="Aptos" w:hAnsi="Aptos" w:cs="Aptos"/>
                <w:u w:val="single"/>
              </w:rPr>
            </w:pPr>
          </w:p>
        </w:tc>
        <w:tc>
          <w:tcPr>
            <w:tcW w:w="4508" w:type="dxa"/>
          </w:tcPr>
          <w:p w14:paraId="15335F66" w14:textId="77777777" w:rsidR="003C1F79" w:rsidRDefault="003C1F79" w:rsidP="003C1F79">
            <w:pPr>
              <w:rPr>
                <w:b/>
                <w:highlight w:val="yellow"/>
              </w:rPr>
            </w:pPr>
            <w:commentRangeStart w:id="55"/>
            <w:r w:rsidRPr="003C1F79">
              <w:rPr>
                <w:b/>
                <w:highlight w:val="yellow"/>
              </w:rPr>
              <w:t>En el Apartado B, para los débitos (20XXXXX) no se contempla una opción equivalente a “No disponible / No conocida” dentro de las partidas de “Cuenta de EF” o “Cuenta de otro PSPCP”. En el caso particular del DEBIN, ¿bajo qué método de iniciación corresponde clasificarlo?</w:t>
            </w:r>
            <w:commentRangeEnd w:id="55"/>
            <w:r>
              <w:rPr>
                <w:rStyle w:val="Refdecomentario"/>
                <w:b/>
                <w:sz w:val="24"/>
                <w:szCs w:val="24"/>
                <w:highlight w:val="yellow"/>
              </w:rPr>
              <w:commentReference w:id="55"/>
            </w:r>
          </w:p>
          <w:p w14:paraId="246D398E" w14:textId="77777777" w:rsidR="003C1F79" w:rsidRDefault="003C1F79" w:rsidP="003C1F79">
            <w:pPr>
              <w:rPr>
                <w:highlight w:val="yellow"/>
              </w:rPr>
            </w:pPr>
          </w:p>
          <w:p w14:paraId="7EFC953D" w14:textId="77777777" w:rsidR="003C1F79" w:rsidRPr="003C1F79" w:rsidRDefault="003C1F79" w:rsidP="003C1F79">
            <w:pPr>
              <w:rPr>
                <w:highlight w:val="yellow"/>
              </w:rPr>
            </w:pPr>
            <w:r w:rsidRPr="003C1F79">
              <w:rPr>
                <w:highlight w:val="yellow"/>
              </w:rPr>
              <w:t>Respuesta: El débito inmediato (DEBIN) es un mecanismo de transferencias inmediatas que debita la cuenta del cliente, y se instrumenta a través de banca por Internet, banca móvil, así como en las interfaces provistas por los PSPCP y en los demás canales que disponga el BCRA.</w:t>
            </w:r>
          </w:p>
          <w:p w14:paraId="6CBBA0C8" w14:textId="77777777" w:rsidR="003C1F79" w:rsidRPr="003C1F79" w:rsidRDefault="003C1F79" w:rsidP="003C1F79">
            <w:pPr>
              <w:rPr>
                <w:highlight w:val="yellow"/>
              </w:rPr>
            </w:pPr>
            <w:r w:rsidRPr="003C1F79">
              <w:rPr>
                <w:highlight w:val="yellow"/>
              </w:rPr>
              <w:t xml:space="preserve">Dado que el DEBIN debita la cuenta del cliente que tiene la cuenta de pago abierta en el propio PSPCP que efectúa la presentación, el débito se informa en las </w:t>
            </w:r>
            <w:r w:rsidRPr="003C1F79">
              <w:rPr>
                <w:highlight w:val="yellow"/>
              </w:rPr>
              <w:lastRenderedPageBreak/>
              <w:t>partidas de “Cuenta de pago propia” (y no en “Cuenta de EF” ni “Cuenta de otro PSPCP”). En consecuencia, las partidas a utilizar son:</w:t>
            </w:r>
          </w:p>
          <w:p w14:paraId="2E8141AC" w14:textId="77777777" w:rsidR="003C1F79" w:rsidRPr="003C1F79" w:rsidRDefault="003C1F79" w:rsidP="003C1F79">
            <w:pPr>
              <w:rPr>
                <w:highlight w:val="yellow"/>
              </w:rPr>
            </w:pPr>
            <w:r w:rsidRPr="003C1F79">
              <w:rPr>
                <w:highlight w:val="yellow"/>
              </w:rPr>
              <w:t>Cuenta de pago propia – Comercial:</w:t>
            </w:r>
          </w:p>
          <w:p w14:paraId="452D9977" w14:textId="77777777" w:rsidR="003C1F79" w:rsidRPr="003C1F79" w:rsidRDefault="003C1F79" w:rsidP="003C1F79">
            <w:pPr>
              <w:rPr>
                <w:highlight w:val="yellow"/>
              </w:rPr>
            </w:pPr>
            <w:r w:rsidRPr="003C1F79">
              <w:rPr>
                <w:highlight w:val="yellow"/>
              </w:rPr>
              <w:t>20103XX – ApMovil-Botón de pago.</w:t>
            </w:r>
          </w:p>
          <w:p w14:paraId="10834911" w14:textId="77777777" w:rsidR="003C1F79" w:rsidRPr="003C1F79" w:rsidRDefault="003C1F79" w:rsidP="003C1F79">
            <w:pPr>
              <w:rPr>
                <w:highlight w:val="yellow"/>
              </w:rPr>
            </w:pPr>
            <w:r w:rsidRPr="003C1F79">
              <w:rPr>
                <w:highlight w:val="yellow"/>
              </w:rPr>
              <w:t>20104XX – ApWeb-Botón de pago.</w:t>
            </w:r>
          </w:p>
          <w:p w14:paraId="43AC3078" w14:textId="77777777" w:rsidR="003C1F79" w:rsidRPr="003C1F79" w:rsidRDefault="003C1F79" w:rsidP="003C1F79">
            <w:pPr>
              <w:rPr>
                <w:highlight w:val="yellow"/>
              </w:rPr>
            </w:pPr>
            <w:r w:rsidRPr="003C1F79">
              <w:rPr>
                <w:highlight w:val="yellow"/>
              </w:rPr>
              <w:t>Cuenta de pago propia – Personal/No comercial:</w:t>
            </w:r>
          </w:p>
          <w:p w14:paraId="11E8D64D" w14:textId="77777777" w:rsidR="003C1F79" w:rsidRPr="003C1F79" w:rsidRDefault="003C1F79" w:rsidP="003C1F79">
            <w:pPr>
              <w:rPr>
                <w:highlight w:val="yellow"/>
              </w:rPr>
            </w:pPr>
            <w:r w:rsidRPr="003C1F79">
              <w:rPr>
                <w:highlight w:val="yellow"/>
              </w:rPr>
              <w:t>20203XX – ApMovil-Botón de pago.</w:t>
            </w:r>
          </w:p>
          <w:p w14:paraId="340933CE" w14:textId="77777777" w:rsidR="003C1F79" w:rsidRPr="003C1F79" w:rsidRDefault="003C1F79" w:rsidP="003C1F79">
            <w:pPr>
              <w:rPr>
                <w:highlight w:val="yellow"/>
              </w:rPr>
            </w:pPr>
            <w:r w:rsidRPr="003C1F79">
              <w:rPr>
                <w:highlight w:val="yellow"/>
              </w:rPr>
              <w:t>20204XX – ApWeb-Botón de pago.</w:t>
            </w:r>
          </w:p>
          <w:p w14:paraId="1E2C85DD" w14:textId="2AE526AB" w:rsidR="003C1F79" w:rsidRPr="003C1F79" w:rsidRDefault="003C1F79" w:rsidP="003C1F79">
            <w:pPr>
              <w:rPr>
                <w:highlight w:val="yellow"/>
              </w:rPr>
            </w:pPr>
            <w:r w:rsidRPr="003C1F79">
              <w:rPr>
                <w:highlight w:val="yellow"/>
              </w:rPr>
              <w:t>Referencia de los dos últimos dígitos (XX): 10 = personas humanas; 20 = personas jurídicas.</w:t>
            </w:r>
          </w:p>
          <w:p w14:paraId="4715DB50" w14:textId="0915A375" w:rsidR="003C1F79" w:rsidRPr="009458B0" w:rsidRDefault="003C1F79" w:rsidP="009458B0">
            <w:pPr>
              <w:rPr>
                <w:b/>
                <w:highlight w:val="yellow"/>
              </w:rPr>
            </w:pPr>
          </w:p>
        </w:tc>
      </w:tr>
      <w:tr w:rsidR="559206F3" w14:paraId="0EA8E2D1" w14:textId="77777777" w:rsidTr="3157D90E">
        <w:trPr>
          <w:trHeight w:val="300"/>
        </w:trPr>
        <w:tc>
          <w:tcPr>
            <w:tcW w:w="4508" w:type="dxa"/>
          </w:tcPr>
          <w:p w14:paraId="17166A65" w14:textId="59B9AD80" w:rsidR="559206F3" w:rsidRDefault="559206F3" w:rsidP="559206F3">
            <w:pPr>
              <w:spacing w:line="279" w:lineRule="auto"/>
              <w:rPr>
                <w:rFonts w:ascii="Aptos" w:eastAsia="Aptos" w:hAnsi="Aptos" w:cs="Aptos"/>
                <w:u w:val="single"/>
              </w:rPr>
            </w:pPr>
          </w:p>
        </w:tc>
        <w:tc>
          <w:tcPr>
            <w:tcW w:w="4508" w:type="dxa"/>
          </w:tcPr>
          <w:p w14:paraId="03D7A887" w14:textId="2A7F1C75" w:rsidR="762080CD" w:rsidRDefault="762080CD" w:rsidP="559206F3">
            <w:pPr>
              <w:rPr>
                <w:rFonts w:ascii="Aptos" w:eastAsia="Aptos" w:hAnsi="Aptos" w:cs="Aptos"/>
                <w:highlight w:val="green"/>
              </w:rPr>
            </w:pPr>
            <w:commentRangeStart w:id="56"/>
            <w:r w:rsidRPr="559206F3">
              <w:rPr>
                <w:rFonts w:ascii="Aptos" w:eastAsia="Aptos" w:hAnsi="Aptos" w:cs="Aptos"/>
                <w:highlight w:val="green"/>
              </w:rPr>
              <w:t xml:space="preserve">En el registro 60XXXXX, cuál es el criterio para diferenciar entre "Transacciones" y "Transferencias"?  </w:t>
            </w:r>
            <w:commentRangeEnd w:id="56"/>
            <w:r>
              <w:rPr>
                <w:rStyle w:val="Refdecomentario"/>
                <w:rFonts w:ascii="Aptos" w:eastAsia="Aptos" w:hAnsi="Aptos" w:cs="Aptos"/>
                <w:sz w:val="24"/>
                <w:szCs w:val="24"/>
                <w:highlight w:val="green"/>
              </w:rPr>
              <w:commentReference w:id="56"/>
            </w:r>
          </w:p>
        </w:tc>
      </w:tr>
      <w:tr w:rsidR="559206F3" w14:paraId="4E3643DE" w14:textId="77777777" w:rsidTr="3157D90E">
        <w:trPr>
          <w:trHeight w:val="300"/>
        </w:trPr>
        <w:tc>
          <w:tcPr>
            <w:tcW w:w="4508" w:type="dxa"/>
          </w:tcPr>
          <w:p w14:paraId="32FF4FB9" w14:textId="7338E41F" w:rsidR="559206F3" w:rsidRDefault="559206F3" w:rsidP="559206F3">
            <w:pPr>
              <w:spacing w:line="279" w:lineRule="auto"/>
              <w:rPr>
                <w:rFonts w:ascii="Aptos" w:eastAsia="Aptos" w:hAnsi="Aptos" w:cs="Aptos"/>
                <w:u w:val="single"/>
              </w:rPr>
            </w:pPr>
          </w:p>
        </w:tc>
        <w:tc>
          <w:tcPr>
            <w:tcW w:w="4508" w:type="dxa"/>
          </w:tcPr>
          <w:p w14:paraId="64A3A7DE" w14:textId="52C6A2E3" w:rsidR="762080CD" w:rsidRDefault="762080CD" w:rsidP="559206F3">
            <w:pPr>
              <w:rPr>
                <w:rFonts w:ascii="Aptos" w:eastAsia="Aptos" w:hAnsi="Aptos" w:cs="Aptos"/>
              </w:rPr>
            </w:pPr>
            <w:r w:rsidRPr="559206F3">
              <w:rPr>
                <w:rFonts w:ascii="Aptos" w:eastAsia="Aptos" w:hAnsi="Aptos" w:cs="Aptos"/>
              </w:rPr>
              <w:t xml:space="preserve">Una </w:t>
            </w:r>
            <w:r w:rsidRPr="559206F3">
              <w:rPr>
                <w:rFonts w:ascii="Aptos" w:eastAsia="Aptos" w:hAnsi="Aptos" w:cs="Aptos"/>
                <w:b/>
                <w:bCs/>
              </w:rPr>
              <w:t>transacción</w:t>
            </w:r>
            <w:r w:rsidRPr="559206F3">
              <w:rPr>
                <w:rFonts w:ascii="Aptos" w:eastAsia="Aptos" w:hAnsi="Aptos" w:cs="Aptos"/>
              </w:rPr>
              <w:t xml:space="preserve"> es cualquier operación que se lleva a cabo en el PSPCP que impacte en el saldo de la cuenta de pago: pagos con tarjetas, retiros y depósitos de dinero, transferencias, etc.</w:t>
            </w:r>
          </w:p>
          <w:p w14:paraId="0E6C123A" w14:textId="523511CE" w:rsidR="559206F3" w:rsidRDefault="559206F3" w:rsidP="559206F3">
            <w:pPr>
              <w:rPr>
                <w:rFonts w:ascii="Aptos" w:eastAsia="Aptos" w:hAnsi="Aptos" w:cs="Aptos"/>
              </w:rPr>
            </w:pPr>
          </w:p>
          <w:p w14:paraId="599BCF0E" w14:textId="1AACCE13" w:rsidR="762080CD" w:rsidRDefault="762080CD" w:rsidP="559206F3">
            <w:r w:rsidRPr="3157D90E">
              <w:rPr>
                <w:rFonts w:ascii="Aptos" w:eastAsia="Aptos" w:hAnsi="Aptos" w:cs="Aptos"/>
              </w:rPr>
              <w:t>Una</w:t>
            </w:r>
            <w:r w:rsidRPr="3157D90E">
              <w:rPr>
                <w:rFonts w:ascii="Aptos" w:eastAsia="Aptos" w:hAnsi="Aptos" w:cs="Aptos"/>
                <w:b/>
                <w:bCs/>
              </w:rPr>
              <w:t xml:space="preserve"> transferencia</w:t>
            </w:r>
            <w:r w:rsidRPr="3157D90E">
              <w:rPr>
                <w:rFonts w:ascii="Aptos" w:eastAsia="Aptos" w:hAnsi="Aptos" w:cs="Aptos"/>
              </w:rPr>
              <w:t xml:space="preserve"> es un envío de dinero entre dos cuentas, ya sea de un mismo titular o entre diferentes titulares de cuentas (CBU a CVU, CVU a CBU o CVU a CVU). Una transferencia es una forma específica de transacción financiera</w:t>
            </w:r>
            <w:r w:rsidR="3AE1581F" w:rsidRPr="3157D90E">
              <w:rPr>
                <w:rFonts w:ascii="Aptos" w:eastAsia="Aptos" w:hAnsi="Aptos" w:cs="Aptos"/>
              </w:rPr>
              <w:t>.</w:t>
            </w:r>
          </w:p>
          <w:p w14:paraId="0D955E50" w14:textId="398FF455" w:rsidR="3157D90E" w:rsidRDefault="3157D90E" w:rsidP="3157D90E">
            <w:pPr>
              <w:rPr>
                <w:rFonts w:ascii="Aptos" w:eastAsia="Aptos" w:hAnsi="Aptos" w:cs="Aptos"/>
              </w:rPr>
            </w:pPr>
          </w:p>
          <w:p w14:paraId="3669E06B" w14:textId="3EB77253" w:rsidR="3AE1581F" w:rsidRDefault="3AE1581F" w:rsidP="3157D90E">
            <w:r w:rsidRPr="3157D90E">
              <w:rPr>
                <w:rFonts w:ascii="Aptos" w:eastAsia="Aptos" w:hAnsi="Aptos" w:cs="Aptos"/>
              </w:rPr>
              <w:t>Tener en cuenta que, dentro de las transacciones, se encuentran las transferencias.</w:t>
            </w:r>
          </w:p>
          <w:p w14:paraId="7593A600" w14:textId="70EE9073" w:rsidR="559206F3" w:rsidRDefault="559206F3" w:rsidP="559206F3">
            <w:pPr>
              <w:rPr>
                <w:rFonts w:ascii="Aptos" w:eastAsia="Aptos" w:hAnsi="Aptos" w:cs="Aptos"/>
              </w:rPr>
            </w:pPr>
          </w:p>
        </w:tc>
      </w:tr>
      <w:tr w:rsidR="3157D90E" w14:paraId="50446873" w14:textId="77777777" w:rsidTr="3157D90E">
        <w:trPr>
          <w:trHeight w:val="300"/>
        </w:trPr>
        <w:tc>
          <w:tcPr>
            <w:tcW w:w="4508" w:type="dxa"/>
          </w:tcPr>
          <w:p w14:paraId="057D102F" w14:textId="0CAA4FB4" w:rsidR="3157D90E" w:rsidRDefault="3157D90E" w:rsidP="3157D90E">
            <w:pPr>
              <w:spacing w:line="279" w:lineRule="auto"/>
              <w:rPr>
                <w:rFonts w:ascii="Aptos" w:eastAsia="Aptos" w:hAnsi="Aptos" w:cs="Aptos"/>
                <w:u w:val="single"/>
              </w:rPr>
            </w:pPr>
          </w:p>
        </w:tc>
        <w:tc>
          <w:tcPr>
            <w:tcW w:w="4508" w:type="dxa"/>
          </w:tcPr>
          <w:p w14:paraId="29DF74C2" w14:textId="1B2C1BFF" w:rsidR="40C36FE9" w:rsidRDefault="40C36FE9" w:rsidP="3157D90E">
            <w:pPr>
              <w:rPr>
                <w:rFonts w:ascii="Aptos" w:eastAsia="Aptos" w:hAnsi="Aptos" w:cs="Aptos"/>
                <w:b/>
                <w:bCs/>
                <w:highlight w:val="green"/>
              </w:rPr>
            </w:pPr>
            <w:commentRangeStart w:id="57"/>
            <w:r w:rsidRPr="3157D90E">
              <w:rPr>
                <w:rFonts w:ascii="Aptos" w:eastAsia="Aptos" w:hAnsi="Aptos" w:cs="Aptos"/>
                <w:b/>
                <w:bCs/>
                <w:highlight w:val="green"/>
              </w:rPr>
              <w:t>¿Para qué tipo de operaciones deben utilizarse las partidas 10208X0 y 2050100?</w:t>
            </w:r>
            <w:commentRangeEnd w:id="57"/>
            <w:r>
              <w:rPr>
                <w:rStyle w:val="Refdecomentario"/>
                <w:rFonts w:ascii="Aptos" w:eastAsia="Aptos" w:hAnsi="Aptos" w:cs="Aptos"/>
                <w:b/>
                <w:bCs/>
                <w:sz w:val="24"/>
                <w:szCs w:val="24"/>
                <w:highlight w:val="green"/>
              </w:rPr>
              <w:commentReference w:id="57"/>
            </w:r>
          </w:p>
        </w:tc>
      </w:tr>
      <w:tr w:rsidR="3157D90E" w14:paraId="45F85D26" w14:textId="77777777" w:rsidTr="3157D90E">
        <w:trPr>
          <w:trHeight w:val="300"/>
        </w:trPr>
        <w:tc>
          <w:tcPr>
            <w:tcW w:w="4508" w:type="dxa"/>
          </w:tcPr>
          <w:p w14:paraId="240D2712" w14:textId="2744668E" w:rsidR="3157D90E" w:rsidRDefault="3157D90E" w:rsidP="3157D90E">
            <w:pPr>
              <w:spacing w:line="279" w:lineRule="auto"/>
              <w:rPr>
                <w:rFonts w:ascii="Aptos" w:eastAsia="Aptos" w:hAnsi="Aptos" w:cs="Aptos"/>
                <w:u w:val="single"/>
              </w:rPr>
            </w:pPr>
          </w:p>
        </w:tc>
        <w:tc>
          <w:tcPr>
            <w:tcW w:w="4508" w:type="dxa"/>
          </w:tcPr>
          <w:p w14:paraId="1209AC8D" w14:textId="4C4A9191" w:rsidR="40C36FE9" w:rsidRDefault="40C36FE9" w:rsidP="3157D90E">
            <w:pPr>
              <w:rPr>
                <w:rFonts w:ascii="Aptos" w:eastAsia="Aptos" w:hAnsi="Aptos" w:cs="Aptos"/>
              </w:rPr>
            </w:pPr>
            <w:commentRangeStart w:id="58"/>
            <w:r w:rsidRPr="3157D90E">
              <w:rPr>
                <w:rFonts w:ascii="Aptos" w:eastAsia="Aptos" w:hAnsi="Aptos" w:cs="Aptos"/>
              </w:rPr>
              <w:t xml:space="preserve">Las partidas </w:t>
            </w:r>
            <w:r w:rsidRPr="3157D90E">
              <w:rPr>
                <w:rFonts w:ascii="Aptos" w:eastAsia="Aptos" w:hAnsi="Aptos" w:cs="Aptos"/>
                <w:b/>
                <w:bCs/>
              </w:rPr>
              <w:t>10208X0</w:t>
            </w:r>
            <w:r w:rsidRPr="3157D90E">
              <w:rPr>
                <w:rFonts w:ascii="Aptos" w:eastAsia="Aptos" w:hAnsi="Aptos" w:cs="Aptos"/>
              </w:rPr>
              <w:t xml:space="preserve"> y </w:t>
            </w:r>
            <w:r w:rsidRPr="3157D90E">
              <w:rPr>
                <w:rFonts w:ascii="Aptos" w:eastAsia="Aptos" w:hAnsi="Aptos" w:cs="Aptos"/>
                <w:b/>
                <w:bCs/>
              </w:rPr>
              <w:t>2050100</w:t>
            </w:r>
            <w:r w:rsidRPr="3157D90E">
              <w:rPr>
                <w:rFonts w:ascii="Aptos" w:eastAsia="Aptos" w:hAnsi="Aptos" w:cs="Aptos"/>
              </w:rPr>
              <w:t xml:space="preserve"> se utilizan </w:t>
            </w:r>
            <w:r w:rsidRPr="3157D90E">
              <w:rPr>
                <w:rFonts w:ascii="Aptos" w:eastAsia="Aptos" w:hAnsi="Aptos" w:cs="Aptos"/>
                <w:b/>
                <w:bCs/>
              </w:rPr>
              <w:t>exclusivamente para contener los depósitos y extracciones de efectivo</w:t>
            </w:r>
            <w:r w:rsidRPr="3157D90E">
              <w:rPr>
                <w:rFonts w:ascii="Aptos" w:eastAsia="Aptos" w:hAnsi="Aptos" w:cs="Aptos"/>
              </w:rPr>
              <w:t xml:space="preserve"> realizados en sucursales de empresas de cobranza extrabancarias o locales comerciales.</w:t>
            </w:r>
            <w:r>
              <w:br/>
            </w:r>
            <w:r w:rsidRPr="3157D90E">
              <w:rPr>
                <w:rFonts w:ascii="Aptos" w:eastAsia="Aptos" w:hAnsi="Aptos" w:cs="Aptos"/>
                <w:color w:val="000000" w:themeColor="text1"/>
              </w:rPr>
              <w:t xml:space="preserve">Por ende, </w:t>
            </w:r>
            <w:r w:rsidRPr="3157D90E">
              <w:rPr>
                <w:rFonts w:ascii="Aptos" w:eastAsia="Aptos" w:hAnsi="Aptos" w:cs="Aptos"/>
                <w:color w:val="000000" w:themeColor="text1"/>
                <w:u w:val="single"/>
              </w:rPr>
              <w:t>solo se permite incluir en las mismas el medio de pago 5 (efectivo</w:t>
            </w:r>
            <w:r w:rsidRPr="3157D90E">
              <w:rPr>
                <w:rFonts w:ascii="Aptos" w:eastAsia="Aptos" w:hAnsi="Aptos" w:cs="Aptos"/>
                <w:color w:val="000000" w:themeColor="text1"/>
              </w:rPr>
              <w:t xml:space="preserve">) y como esquema de pago el código 9 </w:t>
            </w:r>
            <w:r w:rsidRPr="3157D90E">
              <w:rPr>
                <w:rFonts w:ascii="Aptos" w:eastAsia="Aptos" w:hAnsi="Aptos" w:cs="Aptos"/>
                <w:color w:val="000000" w:themeColor="text1"/>
              </w:rPr>
              <w:lastRenderedPageBreak/>
              <w:t>(esquema de pago propio), ya que la operatoria se rige solo por reglas propias del PSPCP.</w:t>
            </w:r>
            <w:commentRangeEnd w:id="58"/>
            <w:r>
              <w:rPr>
                <w:rStyle w:val="Refdecomentario"/>
                <w:rFonts w:ascii="Aptos" w:eastAsia="Aptos" w:hAnsi="Aptos" w:cs="Aptos"/>
                <w:sz w:val="24"/>
                <w:szCs w:val="24"/>
              </w:rPr>
              <w:commentReference w:id="58"/>
            </w:r>
          </w:p>
        </w:tc>
      </w:tr>
      <w:tr w:rsidR="3157D90E" w14:paraId="17C6DF7D" w14:textId="77777777" w:rsidTr="3157D90E">
        <w:trPr>
          <w:trHeight w:val="300"/>
        </w:trPr>
        <w:tc>
          <w:tcPr>
            <w:tcW w:w="4508" w:type="dxa"/>
          </w:tcPr>
          <w:p w14:paraId="71CB8650" w14:textId="3FCA42B4" w:rsidR="3157D90E" w:rsidRDefault="3157D90E" w:rsidP="3157D90E">
            <w:pPr>
              <w:spacing w:line="279" w:lineRule="auto"/>
              <w:rPr>
                <w:rFonts w:ascii="Aptos" w:eastAsia="Aptos" w:hAnsi="Aptos" w:cs="Aptos"/>
                <w:u w:val="single"/>
              </w:rPr>
            </w:pPr>
          </w:p>
        </w:tc>
        <w:tc>
          <w:tcPr>
            <w:tcW w:w="4508" w:type="dxa"/>
          </w:tcPr>
          <w:p w14:paraId="2172D53A" w14:textId="7D699EFC" w:rsidR="73829CC4" w:rsidRDefault="73829CC4" w:rsidP="3157D90E">
            <w:pPr>
              <w:rPr>
                <w:rFonts w:ascii="Aptos" w:eastAsia="Aptos" w:hAnsi="Aptos" w:cs="Aptos"/>
                <w:highlight w:val="green"/>
              </w:rPr>
            </w:pPr>
            <w:commentRangeStart w:id="59"/>
            <w:r w:rsidRPr="3157D90E">
              <w:rPr>
                <w:rFonts w:ascii="Aptos" w:eastAsia="Aptos" w:hAnsi="Aptos" w:cs="Aptos"/>
                <w:highlight w:val="green"/>
              </w:rPr>
              <w:t>Si en un determinado período no se registran movimientos alcanzados por el Apartado B, ¿corresponde remitir igualmente el archivo INFESTADISTICA.TXT o puede declararse “NO OPERA”?</w:t>
            </w:r>
            <w:commentRangeEnd w:id="59"/>
            <w:r>
              <w:rPr>
                <w:rStyle w:val="Refdecomentario"/>
                <w:rFonts w:ascii="Aptos" w:eastAsia="Aptos" w:hAnsi="Aptos" w:cs="Aptos"/>
                <w:sz w:val="24"/>
                <w:szCs w:val="24"/>
                <w:highlight w:val="green"/>
              </w:rPr>
              <w:commentReference w:id="59"/>
            </w:r>
          </w:p>
        </w:tc>
      </w:tr>
      <w:tr w:rsidR="3157D90E" w14:paraId="73B2CDD8" w14:textId="77777777" w:rsidTr="3157D90E">
        <w:trPr>
          <w:trHeight w:val="300"/>
        </w:trPr>
        <w:tc>
          <w:tcPr>
            <w:tcW w:w="4508" w:type="dxa"/>
          </w:tcPr>
          <w:p w14:paraId="08E82DF0" w14:textId="3FF73389" w:rsidR="3157D90E" w:rsidRDefault="3157D90E" w:rsidP="3157D90E">
            <w:pPr>
              <w:spacing w:line="279" w:lineRule="auto"/>
              <w:rPr>
                <w:rFonts w:ascii="Aptos" w:eastAsia="Aptos" w:hAnsi="Aptos" w:cs="Aptos"/>
                <w:u w:val="single"/>
              </w:rPr>
            </w:pPr>
          </w:p>
        </w:tc>
        <w:tc>
          <w:tcPr>
            <w:tcW w:w="4508" w:type="dxa"/>
          </w:tcPr>
          <w:p w14:paraId="7F379BD0" w14:textId="00097F97" w:rsidR="73829CC4" w:rsidRDefault="73829CC4" w:rsidP="3157D90E">
            <w:pPr>
              <w:rPr>
                <w:rFonts w:ascii="Aptos" w:eastAsia="Aptos" w:hAnsi="Aptos" w:cs="Aptos"/>
              </w:rPr>
            </w:pPr>
            <w:commentRangeStart w:id="60"/>
            <w:r w:rsidRPr="3157D90E">
              <w:rPr>
                <w:rFonts w:ascii="Aptos" w:eastAsia="Aptos" w:hAnsi="Aptos" w:cs="Aptos"/>
              </w:rPr>
              <w:t xml:space="preserve">En caso de no contar con datos para reportar en el RI PSP – Apartado B para el período bajo informe, corresponde declarar la opción </w:t>
            </w:r>
            <w:r w:rsidRPr="3157D90E">
              <w:rPr>
                <w:rFonts w:ascii="Aptos" w:eastAsia="Aptos" w:hAnsi="Aptos" w:cs="Aptos"/>
                <w:b/>
                <w:bCs/>
              </w:rPr>
              <w:t>“NO OPERA”</w:t>
            </w:r>
            <w:r w:rsidRPr="3157D90E">
              <w:rPr>
                <w:rFonts w:ascii="Aptos" w:eastAsia="Aptos" w:hAnsi="Aptos" w:cs="Aptos"/>
              </w:rPr>
              <w:t xml:space="preserve"> en el archivo </w:t>
            </w:r>
            <w:r w:rsidRPr="3157D90E">
              <w:rPr>
                <w:rFonts w:ascii="Aptos" w:eastAsia="Aptos" w:hAnsi="Aptos" w:cs="Aptos"/>
                <w:b/>
                <w:bCs/>
              </w:rPr>
              <w:t>DETALLE.XML</w:t>
            </w:r>
            <w:r w:rsidRPr="3157D90E">
              <w:rPr>
                <w:rFonts w:ascii="Aptos" w:eastAsia="Aptos" w:hAnsi="Aptos" w:cs="Aptos"/>
              </w:rPr>
              <w:t xml:space="preserve"> y </w:t>
            </w:r>
            <w:r w:rsidRPr="3157D90E">
              <w:rPr>
                <w:rFonts w:ascii="Aptos" w:eastAsia="Aptos" w:hAnsi="Aptos" w:cs="Aptos"/>
                <w:b/>
                <w:bCs/>
              </w:rPr>
              <w:t>no remitir el archivo INFESTADISTICA.TXT</w:t>
            </w:r>
            <w:r w:rsidRPr="3157D90E">
              <w:rPr>
                <w:rFonts w:ascii="Aptos" w:eastAsia="Aptos" w:hAnsi="Aptos" w:cs="Aptos"/>
              </w:rPr>
              <w:t>.</w:t>
            </w:r>
            <w:commentRangeEnd w:id="60"/>
            <w:r>
              <w:rPr>
                <w:rStyle w:val="Refdecomentario"/>
                <w:rFonts w:ascii="Aptos" w:eastAsia="Aptos" w:hAnsi="Aptos" w:cs="Aptos"/>
                <w:sz w:val="24"/>
                <w:szCs w:val="24"/>
              </w:rPr>
              <w:commentReference w:id="60"/>
            </w:r>
          </w:p>
        </w:tc>
      </w:tr>
      <w:tr w:rsidR="009F38B1" w14:paraId="7CB3BC98" w14:textId="77777777" w:rsidTr="3157D90E">
        <w:trPr>
          <w:trHeight w:val="300"/>
        </w:trPr>
        <w:tc>
          <w:tcPr>
            <w:tcW w:w="4508" w:type="dxa"/>
          </w:tcPr>
          <w:p w14:paraId="231B48FF" w14:textId="77777777" w:rsidR="009F38B1" w:rsidRDefault="009F38B1" w:rsidP="3157D90E">
            <w:pPr>
              <w:rPr>
                <w:rFonts w:ascii="Aptos" w:eastAsia="Aptos" w:hAnsi="Aptos" w:cs="Aptos"/>
                <w:u w:val="single"/>
              </w:rPr>
            </w:pPr>
          </w:p>
        </w:tc>
        <w:tc>
          <w:tcPr>
            <w:tcW w:w="4508" w:type="dxa"/>
          </w:tcPr>
          <w:p w14:paraId="762E6F7F" w14:textId="77777777" w:rsidR="00B82BDF" w:rsidRDefault="00B82BDF" w:rsidP="00B82BDF">
            <w:pPr>
              <w:rPr>
                <w:b/>
                <w:highlight w:val="yellow"/>
              </w:rPr>
            </w:pPr>
            <w:commentRangeStart w:id="61"/>
            <w:r w:rsidRPr="00B82BDF">
              <w:rPr>
                <w:b/>
                <w:highlight w:val="yellow"/>
              </w:rPr>
              <w:t>En el Apartado B, ¿en qué partida deben informarse los pagos efectuados con QR cuyo concepto sea un servicio específico (por ejemplo, pagos de transporte mediante VQR u otros conceptos asimilables)?</w:t>
            </w:r>
            <w:commentRangeEnd w:id="61"/>
            <w:r>
              <w:rPr>
                <w:rStyle w:val="Refdecomentario"/>
                <w:b/>
                <w:sz w:val="24"/>
                <w:szCs w:val="24"/>
                <w:highlight w:val="yellow"/>
              </w:rPr>
              <w:commentReference w:id="61"/>
            </w:r>
          </w:p>
          <w:p w14:paraId="5E1286DF" w14:textId="77777777" w:rsidR="00B82BDF" w:rsidRDefault="00B82BDF" w:rsidP="00B82BDF">
            <w:pPr>
              <w:rPr>
                <w:highlight w:val="yellow"/>
              </w:rPr>
            </w:pPr>
          </w:p>
          <w:p w14:paraId="1FE4926B" w14:textId="2D2CDCB3" w:rsidR="00B82BDF" w:rsidRDefault="00B82BDF" w:rsidP="00B82BDF">
            <w:pPr>
              <w:rPr>
                <w:highlight w:val="yellow"/>
              </w:rPr>
            </w:pPr>
            <w:r w:rsidRPr="00B82BDF">
              <w:rPr>
                <w:highlight w:val="yellow"/>
              </w:rPr>
              <w:t xml:space="preserve">Respuesta: En el modelo de información del Apartado B, las partidas se clasifican por el método de iniciación de la operación (App Móvil, QR, TPV, chip, banda, etc.) y no </w:t>
            </w:r>
            <w:r>
              <w:rPr>
                <w:highlight w:val="yellow"/>
              </w:rPr>
              <w:t>e</w:t>
            </w:r>
            <w:r w:rsidRPr="00B82BDF">
              <w:rPr>
                <w:highlight w:val="yellow"/>
              </w:rPr>
              <w:t>por el concepto comercial subyacente (por ejemplo, transporte, servicios, VQR, etc.). Por lo tanto, no existe una partida específica para “pagos de transporte” o para “VQR”; la operación debe imputarse según el método de iniciación efectivamente utilizado y el tipo de cuenta destino.</w:t>
            </w:r>
          </w:p>
          <w:p w14:paraId="65C3E097" w14:textId="77777777" w:rsidR="00B82BDF" w:rsidRDefault="00B82BDF" w:rsidP="00B82BDF">
            <w:pPr>
              <w:rPr>
                <w:highlight w:val="yellow"/>
              </w:rPr>
            </w:pPr>
            <w:r w:rsidRPr="00B82BDF">
              <w:rPr>
                <w:highlight w:val="yellow"/>
              </w:rPr>
              <w:t>Si la operación se inicia a través de un QR, dependiendo del tipo de cuenta en la que se acrediten los fondos, las partidas correspondientes serían:</w:t>
            </w:r>
          </w:p>
          <w:p w14:paraId="531D4184" w14:textId="77777777" w:rsidR="00B82BDF" w:rsidRDefault="00B82BDF" w:rsidP="00B82BDF">
            <w:pPr>
              <w:rPr>
                <w:highlight w:val="yellow"/>
              </w:rPr>
            </w:pPr>
            <w:r w:rsidRPr="00B82BDF">
              <w:rPr>
                <w:highlight w:val="yellow"/>
              </w:rPr>
              <w:t>Cuenta de pago propia – Comercial: 20102XX – ApMovil–QR.</w:t>
            </w:r>
          </w:p>
          <w:p w14:paraId="3B7CF497" w14:textId="77777777" w:rsidR="00B82BDF" w:rsidRDefault="00B82BDF" w:rsidP="00B82BDF">
            <w:pPr>
              <w:rPr>
                <w:highlight w:val="yellow"/>
              </w:rPr>
            </w:pPr>
            <w:r w:rsidRPr="00B82BDF">
              <w:rPr>
                <w:highlight w:val="yellow"/>
              </w:rPr>
              <w:t>Cuenta de pago propia – Personal/No comercial: 20202XX – ApMovil–QR.</w:t>
            </w:r>
          </w:p>
          <w:p w14:paraId="5C661C3B" w14:textId="77777777" w:rsidR="00B82BDF" w:rsidRDefault="00B82BDF" w:rsidP="00B82BDF">
            <w:pPr>
              <w:rPr>
                <w:highlight w:val="yellow"/>
              </w:rPr>
            </w:pPr>
            <w:r w:rsidRPr="00B82BDF">
              <w:rPr>
                <w:highlight w:val="yellow"/>
              </w:rPr>
              <w:t>Cuenta de otro PSPCP: 2030200 – ApMovil–QR.</w:t>
            </w:r>
          </w:p>
          <w:p w14:paraId="317C7A10" w14:textId="3E1590F0" w:rsidR="00B82BDF" w:rsidRPr="00B82BDF" w:rsidRDefault="00B82BDF" w:rsidP="00B82BDF">
            <w:pPr>
              <w:rPr>
                <w:highlight w:val="yellow"/>
              </w:rPr>
            </w:pPr>
            <w:r w:rsidRPr="00B82BDF">
              <w:rPr>
                <w:highlight w:val="yellow"/>
              </w:rPr>
              <w:t>Cuenta de EF (entidad financiera): 2040200 – ApMovil–QR.</w:t>
            </w:r>
          </w:p>
          <w:p w14:paraId="68CC3254" w14:textId="54B150FA" w:rsidR="009F38B1" w:rsidRPr="3157D90E" w:rsidRDefault="009F38B1" w:rsidP="3157D90E">
            <w:pPr>
              <w:rPr>
                <w:rFonts w:ascii="Aptos" w:eastAsia="Aptos" w:hAnsi="Aptos" w:cs="Aptos"/>
              </w:rPr>
            </w:pPr>
          </w:p>
        </w:tc>
      </w:tr>
      <w:tr w:rsidR="3157D90E" w14:paraId="0CCF4843" w14:textId="77777777" w:rsidTr="3157D90E">
        <w:trPr>
          <w:trHeight w:val="300"/>
        </w:trPr>
        <w:tc>
          <w:tcPr>
            <w:tcW w:w="4508" w:type="dxa"/>
          </w:tcPr>
          <w:p w14:paraId="25534A65" w14:textId="54877FFA" w:rsidR="3157D90E" w:rsidRDefault="3157D90E" w:rsidP="3157D90E">
            <w:pPr>
              <w:spacing w:line="279" w:lineRule="auto"/>
              <w:rPr>
                <w:rFonts w:ascii="Aptos" w:eastAsia="Aptos" w:hAnsi="Aptos" w:cs="Aptos"/>
                <w:u w:val="single"/>
              </w:rPr>
            </w:pPr>
          </w:p>
        </w:tc>
        <w:tc>
          <w:tcPr>
            <w:tcW w:w="4508" w:type="dxa"/>
          </w:tcPr>
          <w:p w14:paraId="7EACE746" w14:textId="3BF49D9C" w:rsidR="4EF2CB18" w:rsidRDefault="4EF2CB18" w:rsidP="3157D90E">
            <w:pPr>
              <w:rPr>
                <w:rFonts w:ascii="Aptos" w:eastAsia="Aptos" w:hAnsi="Aptos" w:cs="Aptos"/>
                <w:highlight w:val="green"/>
              </w:rPr>
            </w:pPr>
            <w:commentRangeStart w:id="62"/>
            <w:r w:rsidRPr="3157D90E">
              <w:rPr>
                <w:rFonts w:ascii="Aptos" w:eastAsia="Aptos" w:hAnsi="Aptos" w:cs="Aptos"/>
                <w:highlight w:val="green"/>
              </w:rPr>
              <w:t xml:space="preserve">Cuando un cliente realiza un pago desde su cuenta de pago y los fondos se acreditan en la cuenta de pago de un cliente de </w:t>
            </w:r>
            <w:r w:rsidRPr="3157D90E">
              <w:rPr>
                <w:rFonts w:ascii="Aptos" w:eastAsia="Aptos" w:hAnsi="Aptos" w:cs="Aptos"/>
                <w:b/>
                <w:bCs/>
                <w:highlight w:val="green"/>
              </w:rPr>
              <w:t>otro PSP</w:t>
            </w:r>
            <w:r w:rsidRPr="3157D90E">
              <w:rPr>
                <w:rFonts w:ascii="Aptos" w:eastAsia="Aptos" w:hAnsi="Aptos" w:cs="Aptos"/>
                <w:highlight w:val="green"/>
              </w:rPr>
              <w:t>, ¿corresponde informar el débito como “Cuenta de pago propia” (partidas 2010XX/2020XX) o como “Cuenta de otro PSPCP” (partidas 2030XX)? ¿Qué partida debería utilizarse en el caso de pagos con QR?</w:t>
            </w:r>
            <w:commentRangeEnd w:id="62"/>
            <w:r>
              <w:rPr>
                <w:rStyle w:val="Refdecomentario"/>
                <w:rFonts w:ascii="Aptos" w:eastAsia="Aptos" w:hAnsi="Aptos" w:cs="Aptos"/>
                <w:sz w:val="24"/>
                <w:szCs w:val="24"/>
                <w:highlight w:val="green"/>
              </w:rPr>
              <w:commentReference w:id="62"/>
            </w:r>
          </w:p>
        </w:tc>
      </w:tr>
      <w:tr w:rsidR="3157D90E" w14:paraId="1BB621BD" w14:textId="77777777" w:rsidTr="3157D90E">
        <w:trPr>
          <w:trHeight w:val="300"/>
        </w:trPr>
        <w:tc>
          <w:tcPr>
            <w:tcW w:w="4508" w:type="dxa"/>
          </w:tcPr>
          <w:p w14:paraId="6BB74CCE" w14:textId="020F4BC7" w:rsidR="3157D90E" w:rsidRDefault="3157D90E" w:rsidP="3157D90E">
            <w:pPr>
              <w:spacing w:line="279" w:lineRule="auto"/>
              <w:rPr>
                <w:rFonts w:ascii="Aptos" w:eastAsia="Aptos" w:hAnsi="Aptos" w:cs="Aptos"/>
                <w:u w:val="single"/>
              </w:rPr>
            </w:pPr>
          </w:p>
        </w:tc>
        <w:tc>
          <w:tcPr>
            <w:tcW w:w="4508" w:type="dxa"/>
          </w:tcPr>
          <w:p w14:paraId="72E1743B" w14:textId="74962767" w:rsidR="32C730D8" w:rsidRDefault="32C730D8" w:rsidP="3157D90E">
            <w:pPr>
              <w:spacing w:before="240" w:after="240"/>
              <w:rPr>
                <w:rFonts w:ascii="Aptos" w:eastAsia="Aptos" w:hAnsi="Aptos" w:cs="Aptos"/>
              </w:rPr>
            </w:pPr>
            <w:commentRangeStart w:id="63"/>
            <w:r w:rsidRPr="3157D90E">
              <w:rPr>
                <w:rFonts w:ascii="Aptos" w:eastAsia="Aptos" w:hAnsi="Aptos" w:cs="Aptos"/>
              </w:rPr>
              <w:t xml:space="preserve">Los débitos deben clasificarse según </w:t>
            </w:r>
            <w:r w:rsidRPr="3157D90E">
              <w:rPr>
                <w:rFonts w:ascii="Aptos" w:eastAsia="Aptos" w:hAnsi="Aptos" w:cs="Aptos"/>
                <w:b/>
                <w:bCs/>
              </w:rPr>
              <w:t>dónde se acreditan los fondos</w:t>
            </w:r>
            <w:r w:rsidRPr="3157D90E">
              <w:rPr>
                <w:rFonts w:ascii="Aptos" w:eastAsia="Aptos" w:hAnsi="Aptos" w:cs="Aptos"/>
              </w:rPr>
              <w:t>:</w:t>
            </w:r>
          </w:p>
          <w:p w14:paraId="77508B61" w14:textId="125D0C5E" w:rsidR="32C730D8" w:rsidRDefault="32C730D8" w:rsidP="3157D90E">
            <w:pPr>
              <w:pStyle w:val="Prrafodelista"/>
              <w:numPr>
                <w:ilvl w:val="0"/>
                <w:numId w:val="1"/>
              </w:numPr>
              <w:spacing w:before="240" w:after="240"/>
              <w:rPr>
                <w:rFonts w:ascii="Aptos" w:eastAsia="Aptos" w:hAnsi="Aptos" w:cs="Aptos"/>
              </w:rPr>
            </w:pPr>
            <w:r w:rsidRPr="3157D90E">
              <w:rPr>
                <w:rFonts w:ascii="Aptos" w:eastAsia="Aptos" w:hAnsi="Aptos" w:cs="Aptos"/>
              </w:rPr>
              <w:t xml:space="preserve">Si se acreditan en </w:t>
            </w:r>
            <w:r w:rsidRPr="3157D90E">
              <w:rPr>
                <w:rFonts w:ascii="Aptos" w:eastAsia="Aptos" w:hAnsi="Aptos" w:cs="Aptos"/>
                <w:b/>
                <w:bCs/>
              </w:rPr>
              <w:t>cuentas de pago administradas por el mismo PSPCP</w:t>
            </w:r>
            <w:r w:rsidRPr="3157D90E">
              <w:rPr>
                <w:rFonts w:ascii="Aptos" w:eastAsia="Aptos" w:hAnsi="Aptos" w:cs="Aptos"/>
              </w:rPr>
              <w:t xml:space="preserve">, se utilizan las partidas </w:t>
            </w:r>
            <w:r w:rsidRPr="3157D90E">
              <w:rPr>
                <w:rFonts w:ascii="Aptos" w:eastAsia="Aptos" w:hAnsi="Aptos" w:cs="Aptos"/>
                <w:b/>
                <w:bCs/>
              </w:rPr>
              <w:t>2010XX / 2020XX</w:t>
            </w:r>
            <w:r w:rsidRPr="3157D90E">
              <w:rPr>
                <w:rFonts w:ascii="Aptos" w:eastAsia="Aptos" w:hAnsi="Aptos" w:cs="Aptos"/>
              </w:rPr>
              <w:t xml:space="preserve"> (“Cuenta de pago propia”).</w:t>
            </w:r>
          </w:p>
          <w:p w14:paraId="1C0290E6" w14:textId="3929DB50" w:rsidR="32C730D8" w:rsidRDefault="32C730D8" w:rsidP="3157D90E">
            <w:pPr>
              <w:pStyle w:val="Prrafodelista"/>
              <w:numPr>
                <w:ilvl w:val="0"/>
                <w:numId w:val="1"/>
              </w:numPr>
              <w:spacing w:before="240" w:after="240"/>
              <w:rPr>
                <w:rFonts w:ascii="Aptos" w:eastAsia="Aptos" w:hAnsi="Aptos" w:cs="Aptos"/>
              </w:rPr>
            </w:pPr>
            <w:r w:rsidRPr="3157D90E">
              <w:rPr>
                <w:rFonts w:ascii="Aptos" w:eastAsia="Aptos" w:hAnsi="Aptos" w:cs="Aptos"/>
              </w:rPr>
              <w:t xml:space="preserve">Si los fondos se acreditan en una </w:t>
            </w:r>
            <w:r w:rsidRPr="3157D90E">
              <w:rPr>
                <w:rFonts w:ascii="Aptos" w:eastAsia="Aptos" w:hAnsi="Aptos" w:cs="Aptos"/>
                <w:b/>
                <w:bCs/>
              </w:rPr>
              <w:t>cuenta de pago de otro PSPCP</w:t>
            </w:r>
            <w:r w:rsidRPr="3157D90E">
              <w:rPr>
                <w:rFonts w:ascii="Aptos" w:eastAsia="Aptos" w:hAnsi="Aptos" w:cs="Aptos"/>
              </w:rPr>
              <w:t xml:space="preserve">, se utilizan las partidas </w:t>
            </w:r>
            <w:r w:rsidRPr="3157D90E">
              <w:rPr>
                <w:rFonts w:ascii="Aptos" w:eastAsia="Aptos" w:hAnsi="Aptos" w:cs="Aptos"/>
                <w:b/>
                <w:bCs/>
              </w:rPr>
              <w:t>2030XX</w:t>
            </w:r>
            <w:r w:rsidRPr="3157D90E">
              <w:rPr>
                <w:rFonts w:ascii="Aptos" w:eastAsia="Aptos" w:hAnsi="Aptos" w:cs="Aptos"/>
              </w:rPr>
              <w:t xml:space="preserve"> (“Cuenta de otro PSPCP”).</w:t>
            </w:r>
          </w:p>
          <w:p w14:paraId="2A94CB09" w14:textId="5ED89197" w:rsidR="32C730D8" w:rsidRDefault="32C730D8" w:rsidP="3157D90E">
            <w:pPr>
              <w:pStyle w:val="Prrafodelista"/>
              <w:numPr>
                <w:ilvl w:val="0"/>
                <w:numId w:val="1"/>
              </w:numPr>
              <w:spacing w:before="240" w:after="240"/>
              <w:rPr>
                <w:rFonts w:ascii="Aptos" w:eastAsia="Aptos" w:hAnsi="Aptos" w:cs="Aptos"/>
              </w:rPr>
            </w:pPr>
            <w:r w:rsidRPr="3157D90E">
              <w:rPr>
                <w:rFonts w:ascii="Aptos" w:eastAsia="Aptos" w:hAnsi="Aptos" w:cs="Aptos"/>
              </w:rPr>
              <w:t xml:space="preserve">Si se acreditan en una </w:t>
            </w:r>
            <w:r w:rsidRPr="3157D90E">
              <w:rPr>
                <w:rFonts w:ascii="Aptos" w:eastAsia="Aptos" w:hAnsi="Aptos" w:cs="Aptos"/>
                <w:b/>
                <w:bCs/>
              </w:rPr>
              <w:t>cuenta bancaria</w:t>
            </w:r>
            <w:r w:rsidRPr="3157D90E">
              <w:rPr>
                <w:rFonts w:ascii="Aptos" w:eastAsia="Aptos" w:hAnsi="Aptos" w:cs="Aptos"/>
              </w:rPr>
              <w:t xml:space="preserve">, se utilizan las partidas </w:t>
            </w:r>
            <w:r w:rsidRPr="3157D90E">
              <w:rPr>
                <w:rFonts w:ascii="Aptos" w:eastAsia="Aptos" w:hAnsi="Aptos" w:cs="Aptos"/>
                <w:b/>
                <w:bCs/>
              </w:rPr>
              <w:t>2040XX</w:t>
            </w:r>
            <w:r w:rsidRPr="3157D90E">
              <w:rPr>
                <w:rFonts w:ascii="Aptos" w:eastAsia="Aptos" w:hAnsi="Aptos" w:cs="Aptos"/>
              </w:rPr>
              <w:t xml:space="preserve"> (“Cuenta de EF”).</w:t>
            </w:r>
          </w:p>
          <w:p w14:paraId="48CFC52D" w14:textId="4C9CABFE" w:rsidR="32C730D8" w:rsidRDefault="32C730D8" w:rsidP="3157D90E">
            <w:pPr>
              <w:spacing w:before="240" w:after="240"/>
              <w:rPr>
                <w:rFonts w:ascii="Aptos" w:eastAsia="Aptos" w:hAnsi="Aptos" w:cs="Aptos"/>
              </w:rPr>
            </w:pPr>
            <w:r w:rsidRPr="3157D90E">
              <w:rPr>
                <w:rFonts w:ascii="Aptos" w:eastAsia="Aptos" w:hAnsi="Aptos" w:cs="Aptos"/>
              </w:rPr>
              <w:t xml:space="preserve">En el caso de pagos con </w:t>
            </w:r>
            <w:r w:rsidRPr="3157D90E">
              <w:rPr>
                <w:rFonts w:ascii="Aptos" w:eastAsia="Aptos" w:hAnsi="Aptos" w:cs="Aptos"/>
                <w:b/>
                <w:bCs/>
              </w:rPr>
              <w:t>QR</w:t>
            </w:r>
            <w:r w:rsidRPr="3157D90E">
              <w:rPr>
                <w:rFonts w:ascii="Aptos" w:eastAsia="Aptos" w:hAnsi="Aptos" w:cs="Aptos"/>
              </w:rPr>
              <w:t xml:space="preserve"> donde el comercio receptor es cliente de </w:t>
            </w:r>
            <w:r w:rsidRPr="3157D90E">
              <w:rPr>
                <w:rFonts w:ascii="Aptos" w:eastAsia="Aptos" w:hAnsi="Aptos" w:cs="Aptos"/>
                <w:b/>
                <w:bCs/>
              </w:rPr>
              <w:t>otro PSP</w:t>
            </w:r>
            <w:r w:rsidRPr="3157D90E">
              <w:rPr>
                <w:rFonts w:ascii="Aptos" w:eastAsia="Aptos" w:hAnsi="Aptos" w:cs="Aptos"/>
              </w:rPr>
              <w:t xml:space="preserve">, corresponde informar el débito en alguna de las partidas </w:t>
            </w:r>
            <w:r w:rsidRPr="3157D90E">
              <w:rPr>
                <w:rFonts w:ascii="Aptos" w:eastAsia="Aptos" w:hAnsi="Aptos" w:cs="Aptos"/>
                <w:b/>
                <w:bCs/>
              </w:rPr>
              <w:t>2030XX</w:t>
            </w:r>
            <w:r w:rsidRPr="3157D90E">
              <w:rPr>
                <w:rFonts w:ascii="Aptos" w:eastAsia="Aptos" w:hAnsi="Aptos" w:cs="Aptos"/>
              </w:rPr>
              <w:t xml:space="preserve">; por ejemplo, </w:t>
            </w:r>
            <w:r w:rsidRPr="3157D90E">
              <w:rPr>
                <w:rFonts w:ascii="Aptos" w:eastAsia="Aptos" w:hAnsi="Aptos" w:cs="Aptos"/>
                <w:b/>
                <w:bCs/>
              </w:rPr>
              <w:t>2030200</w:t>
            </w:r>
            <w:r w:rsidRPr="3157D90E">
              <w:rPr>
                <w:rFonts w:ascii="Aptos" w:eastAsia="Aptos" w:hAnsi="Aptos" w:cs="Aptos"/>
              </w:rPr>
              <w:t xml:space="preserve"> para pagos iniciados por </w:t>
            </w:r>
            <w:r w:rsidRPr="3157D90E">
              <w:rPr>
                <w:rFonts w:ascii="Aptos" w:eastAsia="Aptos" w:hAnsi="Aptos" w:cs="Aptos"/>
                <w:b/>
                <w:bCs/>
              </w:rPr>
              <w:t>ApMovil-QR</w:t>
            </w:r>
            <w:r w:rsidRPr="3157D90E">
              <w:rPr>
                <w:rFonts w:ascii="Aptos" w:eastAsia="Aptos" w:hAnsi="Aptos" w:cs="Aptos"/>
              </w:rPr>
              <w:t>.</w:t>
            </w:r>
            <w:commentRangeEnd w:id="63"/>
            <w:r>
              <w:rPr>
                <w:rStyle w:val="Refdecomentario"/>
                <w:rFonts w:ascii="Aptos" w:eastAsia="Aptos" w:hAnsi="Aptos" w:cs="Aptos"/>
                <w:sz w:val="24"/>
                <w:szCs w:val="24"/>
              </w:rPr>
              <w:commentReference w:id="63"/>
            </w:r>
          </w:p>
        </w:tc>
      </w:tr>
      <w:tr w:rsidR="275543A2" w14:paraId="5B94FADD" w14:textId="77777777" w:rsidTr="3157D90E">
        <w:trPr>
          <w:trHeight w:val="300"/>
        </w:trPr>
        <w:tc>
          <w:tcPr>
            <w:tcW w:w="9016" w:type="dxa"/>
            <w:gridSpan w:val="2"/>
          </w:tcPr>
          <w:p w14:paraId="60CD8282" w14:textId="5406E030" w:rsidR="4F0CEBB3" w:rsidRDefault="4F0CEBB3" w:rsidP="275543A2">
            <w:pPr>
              <w:spacing w:line="279" w:lineRule="auto"/>
              <w:jc w:val="center"/>
              <w:rPr>
                <w:b/>
                <w:bCs/>
                <w:color w:val="002060"/>
              </w:rPr>
            </w:pPr>
            <w:r w:rsidRPr="275543A2">
              <w:rPr>
                <w:b/>
                <w:bCs/>
                <w:color w:val="002060"/>
              </w:rPr>
              <w:t>APARTADO C: INFORME ESPECIAL DEL AUDITOR EXTERNO</w:t>
            </w:r>
          </w:p>
        </w:tc>
      </w:tr>
      <w:tr w:rsidR="275543A2" w14:paraId="79682C89" w14:textId="77777777" w:rsidTr="3157D90E">
        <w:trPr>
          <w:trHeight w:val="300"/>
        </w:trPr>
        <w:tc>
          <w:tcPr>
            <w:tcW w:w="4508" w:type="dxa"/>
          </w:tcPr>
          <w:p w14:paraId="527FA50B" w14:textId="2AEF1ABF" w:rsidR="4F0CEBB3" w:rsidRDefault="4F0CEBB3" w:rsidP="275543A2">
            <w:pPr>
              <w:spacing w:line="279" w:lineRule="auto"/>
              <w:rPr>
                <w:rFonts w:ascii="Aptos" w:eastAsia="Aptos" w:hAnsi="Aptos" w:cs="Aptos"/>
              </w:rPr>
            </w:pPr>
            <w:r w:rsidRPr="275543A2">
              <w:rPr>
                <w:rFonts w:ascii="Aptos" w:eastAsia="Aptos" w:hAnsi="Aptos" w:cs="Aptos"/>
                <w:b/>
                <w:bCs/>
              </w:rPr>
              <w:t>Hay que acompañar con un PDF de auditoría externa, ¿es correcto? ¿Nos pueden brindar más información sobre lo que hay que presentar en dicha documentación?</w:t>
            </w:r>
          </w:p>
        </w:tc>
        <w:tc>
          <w:tcPr>
            <w:tcW w:w="4508" w:type="dxa"/>
          </w:tcPr>
          <w:p w14:paraId="397A7710" w14:textId="727A58D1" w:rsidR="1A6A33A2" w:rsidRDefault="1A6A33A2" w:rsidP="275543A2">
            <w:pPr>
              <w:rPr>
                <w:rFonts w:ascii="Aptos" w:eastAsia="Aptos" w:hAnsi="Aptos" w:cs="Aptos"/>
                <w:b/>
                <w:bCs/>
              </w:rPr>
            </w:pPr>
            <w:r w:rsidRPr="275543A2">
              <w:rPr>
                <w:rFonts w:ascii="Aptos" w:eastAsia="Aptos" w:hAnsi="Aptos" w:cs="Aptos"/>
                <w:b/>
                <w:bCs/>
              </w:rPr>
              <w:t>¿Qué debe contener y con qué frecuencia debe presentarse el Informe Especial del Auditor Externo, según la normativa vigente para el Apartado C del Régimen Informativo de PSPCP?</w:t>
            </w:r>
          </w:p>
        </w:tc>
      </w:tr>
      <w:tr w:rsidR="275543A2" w14:paraId="6715A765" w14:textId="77777777" w:rsidTr="3157D90E">
        <w:trPr>
          <w:trHeight w:val="300"/>
        </w:trPr>
        <w:tc>
          <w:tcPr>
            <w:tcW w:w="4508" w:type="dxa"/>
          </w:tcPr>
          <w:p w14:paraId="4D09011E" w14:textId="2052CC42" w:rsidR="4F0CEBB3" w:rsidRDefault="4F0CEBB3" w:rsidP="275543A2">
            <w:pPr>
              <w:spacing w:after="160" w:line="279" w:lineRule="auto"/>
            </w:pPr>
            <w:r w:rsidRPr="275543A2">
              <w:rPr>
                <w:rFonts w:ascii="Aptos" w:eastAsia="Aptos" w:hAnsi="Aptos" w:cs="Aptos"/>
              </w:rPr>
              <w:t xml:space="preserve">Respuesta: De acuerdo con lo previsto en la SECCIÓN IV – APARTADO C: INFORMACIÓN TRIMESTRAL de la Com. "A" 7004, se deberá remitir trimestralmente un Informe especial de </w:t>
            </w:r>
            <w:r w:rsidRPr="275543A2">
              <w:rPr>
                <w:rFonts w:ascii="Aptos" w:eastAsia="Aptos" w:hAnsi="Aptos" w:cs="Aptos"/>
              </w:rPr>
              <w:lastRenderedPageBreak/>
              <w:t>auditor externo que certifique el cumplimiento de las normas sobre “Proveedores de servicios de pago que ofrecen cuentas de pago” y la integridad de la información contenida en el Apartado A del régimen informativo, con la pertinente certificación por el Consejo Profesional de Ciencias Económicas en el que se encuentren matriculados.</w:t>
            </w:r>
          </w:p>
        </w:tc>
        <w:tc>
          <w:tcPr>
            <w:tcW w:w="4508" w:type="dxa"/>
          </w:tcPr>
          <w:p w14:paraId="57552F53" w14:textId="3A66844F" w:rsidR="46B70751" w:rsidRDefault="46B70751" w:rsidP="275543A2">
            <w:pPr>
              <w:rPr>
                <w:rFonts w:ascii="Aptos" w:eastAsia="Aptos" w:hAnsi="Aptos" w:cs="Aptos"/>
              </w:rPr>
            </w:pPr>
            <w:r w:rsidRPr="275543A2">
              <w:rPr>
                <w:rFonts w:ascii="Aptos" w:eastAsia="Aptos" w:hAnsi="Aptos" w:cs="Aptos"/>
                <w:u w:val="single"/>
              </w:rPr>
              <w:lastRenderedPageBreak/>
              <w:t xml:space="preserve">Respuesta: </w:t>
            </w:r>
            <w:r w:rsidRPr="275543A2">
              <w:rPr>
                <w:rFonts w:ascii="Aptos" w:eastAsia="Aptos" w:hAnsi="Aptos" w:cs="Aptos"/>
              </w:rPr>
              <w:t>De acuerdo</w:t>
            </w:r>
            <w:r w:rsidR="1DB3D2F0" w:rsidRPr="275543A2">
              <w:rPr>
                <w:rFonts w:ascii="Aptos" w:eastAsia="Aptos" w:hAnsi="Aptos" w:cs="Aptos"/>
              </w:rPr>
              <w:t xml:space="preserve"> con lo previsto en la </w:t>
            </w:r>
            <w:r w:rsidR="1DB3D2F0" w:rsidRPr="275543A2">
              <w:rPr>
                <w:rFonts w:ascii="Aptos" w:eastAsia="Aptos" w:hAnsi="Aptos" w:cs="Aptos"/>
                <w:b/>
                <w:bCs/>
              </w:rPr>
              <w:t>SECCIÓN IV – APARTADO C</w:t>
            </w:r>
            <w:r w:rsidR="1DB3D2F0" w:rsidRPr="275543A2">
              <w:rPr>
                <w:rFonts w:ascii="Aptos" w:eastAsia="Aptos" w:hAnsi="Aptos" w:cs="Aptos"/>
              </w:rPr>
              <w:t xml:space="preserve"> de la Com. “A” </w:t>
            </w:r>
            <w:r w:rsidR="0A534100" w:rsidRPr="275543A2">
              <w:rPr>
                <w:rFonts w:ascii="Aptos" w:eastAsia="Aptos" w:hAnsi="Aptos" w:cs="Aptos"/>
              </w:rPr>
              <w:t>8284</w:t>
            </w:r>
            <w:r w:rsidR="1DB3D2F0" w:rsidRPr="275543A2">
              <w:rPr>
                <w:rFonts w:ascii="Aptos" w:eastAsia="Aptos" w:hAnsi="Aptos" w:cs="Aptos"/>
              </w:rPr>
              <w:t xml:space="preserve">, se deberá remitir trimestralmente un </w:t>
            </w:r>
            <w:r w:rsidR="1DB3D2F0" w:rsidRPr="275543A2">
              <w:rPr>
                <w:rFonts w:ascii="Aptos" w:eastAsia="Aptos" w:hAnsi="Aptos" w:cs="Aptos"/>
                <w:b/>
                <w:bCs/>
              </w:rPr>
              <w:t>Informe especial del auditor externo</w:t>
            </w:r>
            <w:r w:rsidR="1DB3D2F0" w:rsidRPr="275543A2">
              <w:rPr>
                <w:rFonts w:ascii="Aptos" w:eastAsia="Aptos" w:hAnsi="Aptos" w:cs="Aptos"/>
              </w:rPr>
              <w:t xml:space="preserve"> que certifique el cumplimiento de las normas sobre </w:t>
            </w:r>
            <w:r w:rsidR="1DB3D2F0" w:rsidRPr="275543A2">
              <w:rPr>
                <w:rFonts w:ascii="Aptos" w:eastAsia="Aptos" w:hAnsi="Aptos" w:cs="Aptos"/>
              </w:rPr>
              <w:lastRenderedPageBreak/>
              <w:t xml:space="preserve">“Proveedores de servicios de pago que ofrecen cuentas de pago” y la integridad de la información del Apartado A del régimen informativo. Este informe deberá contar con la </w:t>
            </w:r>
            <w:r w:rsidR="1DB3D2F0" w:rsidRPr="275543A2">
              <w:rPr>
                <w:rFonts w:ascii="Aptos" w:eastAsia="Aptos" w:hAnsi="Aptos" w:cs="Aptos"/>
                <w:b/>
                <w:bCs/>
              </w:rPr>
              <w:t>certificación del Consejo Profesional de Ciencias Económicas</w:t>
            </w:r>
            <w:r w:rsidR="1DB3D2F0" w:rsidRPr="275543A2">
              <w:rPr>
                <w:rFonts w:ascii="Aptos" w:eastAsia="Aptos" w:hAnsi="Aptos" w:cs="Aptos"/>
              </w:rPr>
              <w:t xml:space="preserve"> en el que el auditor esté matriculado</w:t>
            </w:r>
            <w:r w:rsidR="214B58A6" w:rsidRPr="275543A2">
              <w:rPr>
                <w:rFonts w:ascii="Aptos" w:eastAsia="Aptos" w:hAnsi="Aptos" w:cs="Aptos"/>
              </w:rPr>
              <w:t xml:space="preserve">. </w:t>
            </w:r>
          </w:p>
          <w:p w14:paraId="6E240ADE" w14:textId="27BDB310" w:rsidR="214B58A6" w:rsidRDefault="214B58A6" w:rsidP="275543A2">
            <w:pPr>
              <w:spacing w:before="240" w:after="240"/>
            </w:pPr>
            <w:r w:rsidRPr="275543A2">
              <w:rPr>
                <w:rFonts w:ascii="Aptos" w:eastAsia="Aptos" w:hAnsi="Aptos" w:cs="Aptos"/>
              </w:rPr>
              <w:t xml:space="preserve">En el caso del trimestre finalizado el </w:t>
            </w:r>
            <w:r w:rsidRPr="275543A2">
              <w:rPr>
                <w:rFonts w:ascii="Aptos" w:eastAsia="Aptos" w:hAnsi="Aptos" w:cs="Aptos"/>
                <w:b/>
                <w:bCs/>
              </w:rPr>
              <w:t>31 de diciembre</w:t>
            </w:r>
            <w:r w:rsidRPr="275543A2">
              <w:rPr>
                <w:rFonts w:ascii="Aptos" w:eastAsia="Aptos" w:hAnsi="Aptos" w:cs="Aptos"/>
              </w:rPr>
              <w:t xml:space="preserve">, el informe deberá incluir además la </w:t>
            </w:r>
            <w:r w:rsidRPr="275543A2">
              <w:rPr>
                <w:rFonts w:ascii="Aptos" w:eastAsia="Aptos" w:hAnsi="Aptos" w:cs="Aptos"/>
                <w:b/>
                <w:bCs/>
              </w:rPr>
              <w:t>opinión sobre el cumplimiento de las normas sobre “Protección de los usuarios de servicios financieros”</w:t>
            </w:r>
            <w:r w:rsidRPr="275543A2">
              <w:rPr>
                <w:rFonts w:ascii="Aptos" w:eastAsia="Aptos" w:hAnsi="Aptos" w:cs="Aptos"/>
              </w:rPr>
              <w:t>.</w:t>
            </w:r>
          </w:p>
          <w:p w14:paraId="640F47C9" w14:textId="68302FDD" w:rsidR="214B58A6" w:rsidRDefault="214B58A6" w:rsidP="275543A2">
            <w:pPr>
              <w:spacing w:before="240" w:after="240"/>
            </w:pPr>
            <w:r w:rsidRPr="275543A2">
              <w:rPr>
                <w:rFonts w:ascii="Aptos" w:eastAsia="Aptos" w:hAnsi="Aptos" w:cs="Aptos"/>
              </w:rPr>
              <w:t xml:space="preserve">El informe deberá confeccionarse conforme al </w:t>
            </w:r>
            <w:r w:rsidRPr="275543A2">
              <w:rPr>
                <w:rFonts w:ascii="Aptos" w:eastAsia="Aptos" w:hAnsi="Aptos" w:cs="Aptos"/>
                <w:b/>
                <w:bCs/>
              </w:rPr>
              <w:t>modelo y procedimientos</w:t>
            </w:r>
            <w:r w:rsidRPr="275543A2">
              <w:rPr>
                <w:rFonts w:ascii="Aptos" w:eastAsia="Aptos" w:hAnsi="Aptos" w:cs="Aptos"/>
              </w:rPr>
              <w:t xml:space="preserve"> establecidos en el </w:t>
            </w:r>
            <w:r w:rsidRPr="275543A2">
              <w:rPr>
                <w:rFonts w:ascii="Aptos" w:eastAsia="Aptos" w:hAnsi="Aptos" w:cs="Aptos"/>
                <w:b/>
                <w:bCs/>
              </w:rPr>
              <w:t>Texto Ordenado “Informe de Contadores Públicos Independientes sobre el cumplimiento de las Normas del BCRA por parte de los PSPCP”</w:t>
            </w:r>
            <w:r w:rsidRPr="275543A2">
              <w:rPr>
                <w:rFonts w:ascii="Aptos" w:eastAsia="Aptos" w:hAnsi="Aptos" w:cs="Aptos"/>
              </w:rPr>
              <w:t xml:space="preserve">, y remitirse en </w:t>
            </w:r>
            <w:r w:rsidRPr="275543A2">
              <w:rPr>
                <w:rFonts w:ascii="Aptos" w:eastAsia="Aptos" w:hAnsi="Aptos" w:cs="Aptos"/>
                <w:b/>
                <w:bCs/>
              </w:rPr>
              <w:t>formato PDF firmado digitalmente</w:t>
            </w:r>
            <w:r w:rsidRPr="275543A2">
              <w:rPr>
                <w:rFonts w:ascii="Aptos" w:eastAsia="Aptos" w:hAnsi="Aptos" w:cs="Aptos"/>
              </w:rPr>
              <w:t>.</w:t>
            </w:r>
          </w:p>
          <w:p w14:paraId="4C229712" w14:textId="0790EB9E" w:rsidR="275543A2" w:rsidRDefault="275543A2" w:rsidP="275543A2">
            <w:pPr>
              <w:rPr>
                <w:rFonts w:ascii="Aptos" w:eastAsia="Aptos" w:hAnsi="Aptos" w:cs="Aptos"/>
              </w:rPr>
            </w:pPr>
          </w:p>
        </w:tc>
      </w:tr>
      <w:tr w:rsidR="275543A2" w14:paraId="1B7F6885" w14:textId="77777777" w:rsidTr="3157D90E">
        <w:trPr>
          <w:trHeight w:val="300"/>
        </w:trPr>
        <w:tc>
          <w:tcPr>
            <w:tcW w:w="4508" w:type="dxa"/>
          </w:tcPr>
          <w:p w14:paraId="74F8A066" w14:textId="284450AE" w:rsidR="214B58A6" w:rsidRDefault="214B58A6" w:rsidP="275543A2">
            <w:pPr>
              <w:spacing w:line="279" w:lineRule="auto"/>
              <w:rPr>
                <w:rFonts w:ascii="Aptos" w:eastAsia="Aptos" w:hAnsi="Aptos" w:cs="Aptos"/>
              </w:rPr>
            </w:pPr>
            <w:r w:rsidRPr="275543A2">
              <w:rPr>
                <w:rFonts w:ascii="Aptos" w:eastAsia="Aptos" w:hAnsi="Aptos" w:cs="Aptos"/>
                <w:b/>
                <w:bCs/>
              </w:rPr>
              <w:lastRenderedPageBreak/>
              <w:t>Sobre el vencimiento para la presentación del APARTADO C: ¿Para una entidad autorizada a funcionar en Septiembre 2020 cual es el vencimiento de presentación de este apartado?</w:t>
            </w:r>
          </w:p>
        </w:tc>
        <w:tc>
          <w:tcPr>
            <w:tcW w:w="4508" w:type="dxa"/>
          </w:tcPr>
          <w:p w14:paraId="28543251" w14:textId="0D40D2EF" w:rsidR="17C7D376" w:rsidRDefault="17C7D376">
            <w:r w:rsidRPr="275543A2">
              <w:rPr>
                <w:rFonts w:ascii="Aptos" w:eastAsia="Aptos" w:hAnsi="Aptos" w:cs="Aptos"/>
                <w:b/>
                <w:bCs/>
              </w:rPr>
              <w:t>De acuerdo con lo previsto en la SECCIÓN IV – APARTADO C de la Com. “A” 8284, si una entidad fue autorizada a funcionar en septiembre de 2025, ¿cuál sería la fecha de vencimiento para presentar el Apartado C por el primer trimestre calendario en el que figura habilitada?</w:t>
            </w:r>
          </w:p>
        </w:tc>
      </w:tr>
      <w:tr w:rsidR="275543A2" w14:paraId="162C1AA4" w14:textId="77777777" w:rsidTr="3157D90E">
        <w:trPr>
          <w:trHeight w:val="2190"/>
        </w:trPr>
        <w:tc>
          <w:tcPr>
            <w:tcW w:w="4508" w:type="dxa"/>
          </w:tcPr>
          <w:p w14:paraId="6A1F3410" w14:textId="0DCEF95F" w:rsidR="214B58A6" w:rsidRDefault="214B58A6" w:rsidP="275543A2">
            <w:pPr>
              <w:spacing w:line="279" w:lineRule="auto"/>
            </w:pPr>
            <w:r w:rsidRPr="275543A2">
              <w:rPr>
                <w:rFonts w:ascii="Aptos" w:eastAsia="Aptos" w:hAnsi="Aptos" w:cs="Aptos"/>
              </w:rPr>
              <w:t>Respuesta: Si el certificado de inscripción fue emitido durante el trimestre Julio/Septiembre, el Apartado C vence el 20.11</w:t>
            </w:r>
          </w:p>
        </w:tc>
        <w:tc>
          <w:tcPr>
            <w:tcW w:w="4508" w:type="dxa"/>
          </w:tcPr>
          <w:p w14:paraId="173D8C3D" w14:textId="7F251A71" w:rsidR="214B58A6" w:rsidRDefault="214B58A6" w:rsidP="275543A2">
            <w:pPr>
              <w:rPr>
                <w:rFonts w:ascii="Aptos" w:eastAsia="Aptos" w:hAnsi="Aptos" w:cs="Aptos"/>
                <w:highlight w:val="yellow"/>
              </w:rPr>
            </w:pPr>
            <w:r w:rsidRPr="275543A2">
              <w:rPr>
                <w:rFonts w:ascii="Aptos" w:eastAsia="Aptos" w:hAnsi="Aptos" w:cs="Aptos"/>
                <w:u w:val="single"/>
              </w:rPr>
              <w:t xml:space="preserve">Respuesta: </w:t>
            </w:r>
            <w:r w:rsidR="7BB0F9A6" w:rsidRPr="275543A2">
              <w:rPr>
                <w:rFonts w:ascii="Aptos" w:eastAsia="Aptos" w:hAnsi="Aptos" w:cs="Aptos"/>
              </w:rPr>
              <w:t xml:space="preserve">Conforme a la </w:t>
            </w:r>
            <w:r w:rsidR="7BB0F9A6" w:rsidRPr="275543A2">
              <w:rPr>
                <w:rFonts w:ascii="Aptos" w:eastAsia="Aptos" w:hAnsi="Aptos" w:cs="Aptos"/>
                <w:b/>
                <w:bCs/>
              </w:rPr>
              <w:t>Com. “A” 8284</w:t>
            </w:r>
            <w:r w:rsidR="7BB0F9A6" w:rsidRPr="275543A2">
              <w:rPr>
                <w:rFonts w:ascii="Aptos" w:eastAsia="Aptos" w:hAnsi="Aptos" w:cs="Aptos"/>
              </w:rPr>
              <w:t xml:space="preserve">, el </w:t>
            </w:r>
            <w:r w:rsidR="7BB0F9A6" w:rsidRPr="275543A2">
              <w:rPr>
                <w:rFonts w:ascii="Aptos" w:eastAsia="Aptos" w:hAnsi="Aptos" w:cs="Aptos"/>
                <w:b/>
                <w:bCs/>
              </w:rPr>
              <w:t>vencimiento para el Apartado C</w:t>
            </w:r>
            <w:r w:rsidR="7BB0F9A6" w:rsidRPr="275543A2">
              <w:rPr>
                <w:rFonts w:ascii="Aptos" w:eastAsia="Aptos" w:hAnsi="Aptos" w:cs="Aptos"/>
              </w:rPr>
              <w:t xml:space="preserve"> opera siempre </w:t>
            </w:r>
            <w:r w:rsidR="7BB0F9A6" w:rsidRPr="275543A2">
              <w:rPr>
                <w:rFonts w:ascii="Aptos" w:eastAsia="Aptos" w:hAnsi="Aptos" w:cs="Aptos"/>
                <w:b/>
                <w:bCs/>
              </w:rPr>
              <w:t xml:space="preserve">el día 20 del </w:t>
            </w:r>
            <w:commentRangeStart w:id="64"/>
            <w:r w:rsidR="7BB0F9A6" w:rsidRPr="275543A2">
              <w:rPr>
                <w:rFonts w:ascii="Aptos" w:eastAsia="Aptos" w:hAnsi="Aptos" w:cs="Aptos"/>
                <w:b/>
                <w:bCs/>
              </w:rPr>
              <w:t>mes s</w:t>
            </w:r>
            <w:r w:rsidR="00FD457F">
              <w:rPr>
                <w:rFonts w:ascii="Aptos" w:eastAsia="Aptos" w:hAnsi="Aptos" w:cs="Aptos"/>
                <w:b/>
                <w:bCs/>
              </w:rPr>
              <w:t>ubs</w:t>
            </w:r>
            <w:r w:rsidR="7BB0F9A6" w:rsidRPr="275543A2">
              <w:rPr>
                <w:rFonts w:ascii="Aptos" w:eastAsia="Aptos" w:hAnsi="Aptos" w:cs="Aptos"/>
                <w:b/>
                <w:bCs/>
              </w:rPr>
              <w:t>iguiente al cierre del trimestre</w:t>
            </w:r>
            <w:commentRangeEnd w:id="64"/>
            <w:r w:rsidR="00FD457F" w:rsidRPr="275543A2">
              <w:rPr>
                <w:rStyle w:val="Refdecomentario"/>
                <w:rFonts w:ascii="Aptos" w:eastAsia="Aptos" w:hAnsi="Aptos" w:cs="Aptos"/>
                <w:sz w:val="24"/>
                <w:szCs w:val="24"/>
              </w:rPr>
              <w:commentReference w:id="64"/>
            </w:r>
            <w:r w:rsidR="7BB0F9A6" w:rsidRPr="275543A2">
              <w:rPr>
                <w:rFonts w:ascii="Aptos" w:eastAsia="Aptos" w:hAnsi="Aptos" w:cs="Aptos"/>
              </w:rPr>
              <w:t xml:space="preserve">, sin importar el año. Por lo tanto, si la entidad fue autorizada en </w:t>
            </w:r>
            <w:r w:rsidR="7BB0F9A6" w:rsidRPr="275543A2">
              <w:rPr>
                <w:rFonts w:ascii="Aptos" w:eastAsia="Aptos" w:hAnsi="Aptos" w:cs="Aptos"/>
                <w:b/>
                <w:bCs/>
              </w:rPr>
              <w:t>septiembre de 2025</w:t>
            </w:r>
            <w:r w:rsidR="7BB0F9A6" w:rsidRPr="275543A2">
              <w:rPr>
                <w:rFonts w:ascii="Aptos" w:eastAsia="Aptos" w:hAnsi="Aptos" w:cs="Aptos"/>
              </w:rPr>
              <w:t xml:space="preserve">, su primer trimestre válido será </w:t>
            </w:r>
            <w:r w:rsidR="7BB0F9A6" w:rsidRPr="275543A2">
              <w:rPr>
                <w:rFonts w:ascii="Aptos" w:eastAsia="Aptos" w:hAnsi="Aptos" w:cs="Aptos"/>
                <w:b/>
                <w:bCs/>
              </w:rPr>
              <w:t>julio-septiembre de 2025</w:t>
            </w:r>
            <w:r w:rsidR="7BB0F9A6" w:rsidRPr="275543A2">
              <w:rPr>
                <w:rFonts w:ascii="Aptos" w:eastAsia="Aptos" w:hAnsi="Aptos" w:cs="Aptos"/>
              </w:rPr>
              <w:t xml:space="preserve">, y la presentación del Informe Especial del Auditor Externo deberá realizarse </w:t>
            </w:r>
            <w:r w:rsidR="7BB0F9A6" w:rsidRPr="275543A2">
              <w:rPr>
                <w:rFonts w:ascii="Aptos" w:eastAsia="Aptos" w:hAnsi="Aptos" w:cs="Aptos"/>
                <w:b/>
                <w:bCs/>
              </w:rPr>
              <w:t xml:space="preserve">el 20 de </w:t>
            </w:r>
            <w:r w:rsidR="00FD457F" w:rsidRPr="00FD457F">
              <w:rPr>
                <w:rFonts w:ascii="Aptos" w:eastAsia="Aptos" w:hAnsi="Aptos" w:cs="Aptos"/>
                <w:b/>
                <w:bCs/>
              </w:rPr>
              <w:t>noviem</w:t>
            </w:r>
            <w:r w:rsidR="7BB0F9A6" w:rsidRPr="275543A2">
              <w:rPr>
                <w:rFonts w:ascii="Aptos" w:eastAsia="Aptos" w:hAnsi="Aptos" w:cs="Aptos"/>
                <w:b/>
                <w:bCs/>
              </w:rPr>
              <w:t>bre de 2025</w:t>
            </w:r>
            <w:r w:rsidR="7BB0F9A6" w:rsidRPr="275543A2">
              <w:rPr>
                <w:rFonts w:ascii="Aptos" w:eastAsia="Aptos" w:hAnsi="Aptos" w:cs="Aptos"/>
              </w:rPr>
              <w:t>.</w:t>
            </w:r>
          </w:p>
        </w:tc>
      </w:tr>
      <w:tr w:rsidR="275543A2" w14:paraId="5C7F4661" w14:textId="77777777" w:rsidTr="3157D90E">
        <w:trPr>
          <w:trHeight w:val="1800"/>
        </w:trPr>
        <w:tc>
          <w:tcPr>
            <w:tcW w:w="4508" w:type="dxa"/>
          </w:tcPr>
          <w:p w14:paraId="0B08238A" w14:textId="75EFCDBD" w:rsidR="7BB0F9A6" w:rsidRDefault="7BB0F9A6" w:rsidP="275543A2">
            <w:pPr>
              <w:spacing w:line="279" w:lineRule="auto"/>
              <w:rPr>
                <w:rFonts w:ascii="Aptos" w:eastAsia="Aptos" w:hAnsi="Aptos" w:cs="Aptos"/>
              </w:rPr>
            </w:pPr>
            <w:r w:rsidRPr="275543A2">
              <w:rPr>
                <w:rFonts w:ascii="Aptos" w:eastAsia="Aptos" w:hAnsi="Aptos" w:cs="Aptos"/>
                <w:b/>
                <w:bCs/>
              </w:rPr>
              <w:lastRenderedPageBreak/>
              <w:t>Continuamos con dudas acerca de la generación del archivo INFESPECIAL.PDF, ya que no encontramos especificación de diseño de registro para dicho archivo</w:t>
            </w:r>
          </w:p>
        </w:tc>
        <w:tc>
          <w:tcPr>
            <w:tcW w:w="4508" w:type="dxa"/>
          </w:tcPr>
          <w:p w14:paraId="20F06561" w14:textId="562628D3" w:rsidR="4361D46F" w:rsidRDefault="4361D46F" w:rsidP="275543A2">
            <w:pPr>
              <w:rPr>
                <w:rFonts w:ascii="Aptos" w:eastAsia="Aptos" w:hAnsi="Aptos" w:cs="Aptos"/>
                <w:b/>
                <w:bCs/>
              </w:rPr>
            </w:pPr>
            <w:r w:rsidRPr="409B4C76">
              <w:rPr>
                <w:rFonts w:ascii="Aptos" w:eastAsia="Aptos" w:hAnsi="Aptos" w:cs="Aptos"/>
                <w:b/>
                <w:bCs/>
              </w:rPr>
              <w:t>De acuerdo con lo previsto en la SECCIÓN IV – APARTADO C del R</w:t>
            </w:r>
            <w:r w:rsidR="28AAA7C8" w:rsidRPr="409B4C76">
              <w:rPr>
                <w:rFonts w:ascii="Aptos" w:eastAsia="Aptos" w:hAnsi="Aptos" w:cs="Aptos"/>
                <w:b/>
                <w:bCs/>
              </w:rPr>
              <w:t>.I.</w:t>
            </w:r>
            <w:r w:rsidRPr="409B4C76">
              <w:rPr>
                <w:rFonts w:ascii="Aptos" w:eastAsia="Aptos" w:hAnsi="Aptos" w:cs="Aptos"/>
                <w:b/>
                <w:bCs/>
              </w:rPr>
              <w:t>, ¿dónde se puede consultar el</w:t>
            </w:r>
            <w:r w:rsidR="0F94011D" w:rsidRPr="409B4C76">
              <w:rPr>
                <w:rFonts w:ascii="Aptos" w:eastAsia="Aptos" w:hAnsi="Aptos" w:cs="Aptos"/>
                <w:b/>
                <w:bCs/>
              </w:rPr>
              <w:t xml:space="preserve"> diseño de registro,</w:t>
            </w:r>
            <w:r w:rsidRPr="409B4C76">
              <w:rPr>
                <w:rFonts w:ascii="Aptos" w:eastAsia="Aptos" w:hAnsi="Aptos" w:cs="Aptos"/>
                <w:b/>
                <w:bCs/>
              </w:rPr>
              <w:t xml:space="preserve"> modelo, contenido y requisitos formales que debe cumplir el archivo </w:t>
            </w:r>
            <w:r w:rsidRPr="409B4C76">
              <w:rPr>
                <w:rFonts w:ascii="Consolas" w:eastAsia="Consolas" w:hAnsi="Consolas" w:cs="Consolas"/>
                <w:b/>
                <w:bCs/>
              </w:rPr>
              <w:t>INFESPECIAL.PDF</w:t>
            </w:r>
            <w:r w:rsidRPr="409B4C76">
              <w:rPr>
                <w:rFonts w:ascii="Aptos" w:eastAsia="Aptos" w:hAnsi="Aptos" w:cs="Aptos"/>
                <w:b/>
                <w:bCs/>
              </w:rPr>
              <w:t xml:space="preserve"> que se presenta como Informe Especial del Auditor Externo?</w:t>
            </w:r>
          </w:p>
        </w:tc>
      </w:tr>
      <w:tr w:rsidR="275543A2" w14:paraId="446EE3C7" w14:textId="77777777" w:rsidTr="3157D90E">
        <w:trPr>
          <w:trHeight w:val="2190"/>
        </w:trPr>
        <w:tc>
          <w:tcPr>
            <w:tcW w:w="4508" w:type="dxa"/>
          </w:tcPr>
          <w:p w14:paraId="1D343948" w14:textId="35F52973" w:rsidR="7BB0F9A6" w:rsidRDefault="7BB0F9A6" w:rsidP="275543A2">
            <w:pPr>
              <w:spacing w:after="160" w:line="279" w:lineRule="auto"/>
            </w:pPr>
            <w:r w:rsidRPr="275543A2">
              <w:rPr>
                <w:rFonts w:ascii="Aptos" w:eastAsia="Aptos" w:hAnsi="Aptos" w:cs="Aptos"/>
                <w:u w:val="single"/>
              </w:rPr>
              <w:t>Respuesta:</w:t>
            </w:r>
            <w:r w:rsidRPr="275543A2">
              <w:rPr>
                <w:rFonts w:ascii="Aptos" w:eastAsia="Aptos" w:hAnsi="Aptos" w:cs="Aptos"/>
              </w:rPr>
              <w:t xml:space="preserve"> En relación con las dudas que le surgen en la generación del Informe Especial del Auditor, cabe señalar que no tenemos modelos de TXT para su presentación. Para la remisión de la información, deberán guiarse a través del diseño de registro previsto en las Comunicaciones.</w:t>
            </w:r>
          </w:p>
        </w:tc>
        <w:tc>
          <w:tcPr>
            <w:tcW w:w="4508" w:type="dxa"/>
          </w:tcPr>
          <w:p w14:paraId="0DBB0AA4" w14:textId="3BEF688E" w:rsidR="3FE3D7CB" w:rsidRDefault="5D1E33BA" w:rsidP="409B4C76">
            <w:pPr>
              <w:rPr>
                <w:rFonts w:ascii="Aptos" w:eastAsia="Aptos" w:hAnsi="Aptos" w:cs="Aptos"/>
              </w:rPr>
            </w:pPr>
            <w:r w:rsidRPr="409B4C76">
              <w:rPr>
                <w:rFonts w:ascii="Aptos" w:eastAsia="Aptos" w:hAnsi="Aptos" w:cs="Aptos"/>
                <w:u w:val="single"/>
              </w:rPr>
              <w:t>Respuesta</w:t>
            </w:r>
            <w:r w:rsidRPr="409B4C76">
              <w:rPr>
                <w:rFonts w:ascii="Aptos" w:eastAsia="Aptos" w:hAnsi="Aptos" w:cs="Aptos"/>
              </w:rPr>
              <w:t xml:space="preserve">: En relación con las dudas que le surgen en la generación del Informe Especial del Auditor, </w:t>
            </w:r>
            <w:r w:rsidR="0C853A8B" w:rsidRPr="409B4C76">
              <w:rPr>
                <w:rFonts w:ascii="Aptos" w:eastAsia="Aptos" w:hAnsi="Aptos" w:cs="Aptos"/>
              </w:rPr>
              <w:t>cabe señalar que no se provee un diseño de registro tipo TXT, el archivo debe generarse en PDF y remitirse por sistema. E</w:t>
            </w:r>
            <w:r w:rsidRPr="409B4C76">
              <w:rPr>
                <w:rFonts w:ascii="Aptos" w:eastAsia="Aptos" w:hAnsi="Aptos" w:cs="Aptos"/>
              </w:rPr>
              <w:t>l informe deberá realizarse conforme al modelo y procedimientos establecidos en el T.O. "Informe de Contadores Públicos Independientes sobre el cumplimiento de las Normas del BCRA por parte de los Proveedores de Servicios de Pago".</w:t>
            </w:r>
            <w:r w:rsidR="3FF3CCD0" w:rsidRPr="409B4C76">
              <w:rPr>
                <w:rFonts w:ascii="Aptos" w:eastAsia="Aptos" w:hAnsi="Aptos" w:cs="Aptos"/>
              </w:rPr>
              <w:t xml:space="preserve"> (Com. “A” 7972)</w:t>
            </w:r>
          </w:p>
        </w:tc>
      </w:tr>
      <w:tr w:rsidR="275543A2" w14:paraId="43A6173E" w14:textId="77777777" w:rsidTr="3157D90E">
        <w:trPr>
          <w:trHeight w:val="1470"/>
        </w:trPr>
        <w:tc>
          <w:tcPr>
            <w:tcW w:w="4508" w:type="dxa"/>
          </w:tcPr>
          <w:p w14:paraId="0AA049C2" w14:textId="4E8F3188" w:rsidR="7BB0F9A6" w:rsidRDefault="7BB0F9A6" w:rsidP="275543A2">
            <w:pPr>
              <w:spacing w:after="160" w:line="279" w:lineRule="auto"/>
              <w:rPr>
                <w:rFonts w:ascii="Aptos" w:eastAsia="Aptos" w:hAnsi="Aptos" w:cs="Aptos"/>
              </w:rPr>
            </w:pPr>
            <w:r w:rsidRPr="275543A2">
              <w:rPr>
                <w:rFonts w:ascii="Aptos" w:eastAsia="Aptos" w:hAnsi="Aptos" w:cs="Aptos"/>
                <w:b/>
                <w:bCs/>
              </w:rPr>
              <w:t>¿El informe tiene que ser firmado por el mismo auditor externo que firma el balance contable o puede ser firmado por otro auditor externo?</w:t>
            </w:r>
          </w:p>
        </w:tc>
        <w:tc>
          <w:tcPr>
            <w:tcW w:w="4508" w:type="dxa"/>
          </w:tcPr>
          <w:p w14:paraId="6E99B774" w14:textId="5994ED07" w:rsidR="275543A2" w:rsidRDefault="72734ED1" w:rsidP="409B4C76">
            <w:pPr>
              <w:spacing w:after="160" w:line="279" w:lineRule="auto"/>
              <w:rPr>
                <w:rFonts w:ascii="Aptos" w:eastAsia="Aptos" w:hAnsi="Aptos" w:cs="Aptos"/>
              </w:rPr>
            </w:pPr>
            <w:r w:rsidRPr="409B4C76">
              <w:rPr>
                <w:rFonts w:ascii="Aptos" w:eastAsia="Aptos" w:hAnsi="Aptos" w:cs="Aptos"/>
                <w:b/>
                <w:bCs/>
              </w:rPr>
              <w:t>¿El Informe Especial del Auditor Externo tiene que ser firmado por el mismo auditor externo que suscribe el balance contable, o puede ser firmado por otro auditor externo?</w:t>
            </w:r>
          </w:p>
        </w:tc>
      </w:tr>
      <w:tr w:rsidR="275543A2" w14:paraId="289621CD" w14:textId="77777777" w:rsidTr="3157D90E">
        <w:trPr>
          <w:trHeight w:val="2190"/>
        </w:trPr>
        <w:tc>
          <w:tcPr>
            <w:tcW w:w="4508" w:type="dxa"/>
          </w:tcPr>
          <w:p w14:paraId="304B03BB" w14:textId="5F6E6638" w:rsidR="7BB0F9A6" w:rsidRDefault="2C463499" w:rsidP="409B4C76">
            <w:pPr>
              <w:spacing w:line="279" w:lineRule="auto"/>
              <w:rPr>
                <w:rFonts w:ascii="Aptos" w:eastAsia="Aptos" w:hAnsi="Aptos" w:cs="Aptos"/>
              </w:rPr>
            </w:pPr>
            <w:r w:rsidRPr="409B4C76">
              <w:rPr>
                <w:rFonts w:ascii="Aptos" w:eastAsia="Aptos" w:hAnsi="Aptos" w:cs="Aptos"/>
                <w:u w:val="single"/>
              </w:rPr>
              <w:t>Respuesta:</w:t>
            </w:r>
            <w:r w:rsidR="7BB0F9A6" w:rsidRPr="409B4C76">
              <w:rPr>
                <w:rFonts w:ascii="Aptos" w:eastAsia="Aptos" w:hAnsi="Aptos" w:cs="Aptos"/>
              </w:rPr>
              <w:t xml:space="preserve"> Mientras se cumpla lo previsto en la SECCIÓN IV – APARTADO C: INFORMACIÓN TRIMESTRAL de la Com. "A" 7004, en referencia al apartado C, se entiende que no hay inconveniente.</w:t>
            </w:r>
          </w:p>
        </w:tc>
        <w:tc>
          <w:tcPr>
            <w:tcW w:w="4508" w:type="dxa"/>
          </w:tcPr>
          <w:p w14:paraId="28E3D19A" w14:textId="172FEF81" w:rsidR="275543A2" w:rsidRDefault="04700158" w:rsidP="409B4C76">
            <w:pPr>
              <w:rPr>
                <w:rFonts w:ascii="Aptos" w:eastAsia="Aptos" w:hAnsi="Aptos" w:cs="Aptos"/>
              </w:rPr>
            </w:pPr>
            <w:r w:rsidRPr="409B4C76">
              <w:rPr>
                <w:rFonts w:ascii="Aptos" w:eastAsia="Aptos" w:hAnsi="Aptos" w:cs="Aptos"/>
                <w:u w:val="single"/>
              </w:rPr>
              <w:t>Respuesta:</w:t>
            </w:r>
            <w:r w:rsidRPr="409B4C76">
              <w:rPr>
                <w:rFonts w:ascii="Aptos" w:eastAsia="Aptos" w:hAnsi="Aptos" w:cs="Aptos"/>
              </w:rPr>
              <w:t xml:space="preserve"> La normativa no exige que el Informe Especial del Auditor Externo sea firmado por la misma persona que suscribe el balance.</w:t>
            </w:r>
            <w:r w:rsidR="275543A2">
              <w:br/>
            </w:r>
            <w:r w:rsidRPr="409B4C76">
              <w:rPr>
                <w:rFonts w:ascii="Aptos" w:eastAsia="Aptos" w:hAnsi="Aptos" w:cs="Aptos"/>
              </w:rPr>
              <w:t xml:space="preserve"> Lo relevante es que quien suscriba:</w:t>
            </w:r>
          </w:p>
          <w:p w14:paraId="41DB39CA" w14:textId="4D43410E" w:rsidR="275543A2" w:rsidRDefault="04700158" w:rsidP="409B4C76">
            <w:pPr>
              <w:numPr>
                <w:ilvl w:val="0"/>
                <w:numId w:val="11"/>
              </w:numPr>
              <w:rPr>
                <w:rFonts w:ascii="Aptos" w:eastAsia="Aptos" w:hAnsi="Aptos" w:cs="Aptos"/>
              </w:rPr>
            </w:pPr>
            <w:r w:rsidRPr="409B4C76">
              <w:rPr>
                <w:rFonts w:ascii="Aptos" w:eastAsia="Aptos" w:hAnsi="Aptos" w:cs="Aptos"/>
              </w:rPr>
              <w:t xml:space="preserve">Cumpla con lo establecido en el </w:t>
            </w:r>
            <w:r w:rsidRPr="409B4C76">
              <w:rPr>
                <w:rFonts w:ascii="Aptos" w:eastAsia="Aptos" w:hAnsi="Aptos" w:cs="Aptos"/>
                <w:b/>
                <w:bCs/>
              </w:rPr>
              <w:t>Apartado C de la Com. “A” 8284</w:t>
            </w:r>
            <w:r w:rsidRPr="409B4C76">
              <w:rPr>
                <w:rFonts w:ascii="Aptos" w:eastAsia="Aptos" w:hAnsi="Aptos" w:cs="Aptos"/>
              </w:rPr>
              <w:t xml:space="preserve"> (habilitación profesional, contenido del informe, certificación ante el Consejo Profesional correspondiente).</w:t>
            </w:r>
          </w:p>
          <w:p w14:paraId="1944065C" w14:textId="61B2D53F" w:rsidR="275543A2" w:rsidRDefault="04700158" w:rsidP="409B4C76">
            <w:pPr>
              <w:numPr>
                <w:ilvl w:val="0"/>
                <w:numId w:val="11"/>
              </w:numPr>
              <w:rPr>
                <w:rFonts w:ascii="Aptos" w:eastAsia="Aptos" w:hAnsi="Aptos" w:cs="Aptos"/>
              </w:rPr>
            </w:pPr>
            <w:r w:rsidRPr="409B4C76">
              <w:rPr>
                <w:rFonts w:ascii="Aptos" w:eastAsia="Aptos" w:hAnsi="Aptos" w:cs="Aptos"/>
              </w:rPr>
              <w:t xml:space="preserve">Respete los requisitos y demás disposiciones establecidas en la </w:t>
            </w:r>
            <w:r w:rsidRPr="409B4C76">
              <w:rPr>
                <w:rFonts w:ascii="Aptos" w:eastAsia="Aptos" w:hAnsi="Aptos" w:cs="Aptos"/>
                <w:b/>
                <w:bCs/>
              </w:rPr>
              <w:t>Resolución Técnica</w:t>
            </w:r>
            <w:r w:rsidR="386F941C" w:rsidRPr="409B4C76">
              <w:rPr>
                <w:rFonts w:ascii="Aptos" w:eastAsia="Aptos" w:hAnsi="Aptos" w:cs="Aptos"/>
                <w:b/>
                <w:bCs/>
              </w:rPr>
              <w:t xml:space="preserve"> vigente </w:t>
            </w:r>
            <w:r w:rsidRPr="409B4C76">
              <w:rPr>
                <w:rFonts w:ascii="Aptos" w:eastAsia="Aptos" w:hAnsi="Aptos" w:cs="Aptos"/>
              </w:rPr>
              <w:t>emitida por la FACPCE, que regula actualmente las normas de auditoría externa</w:t>
            </w:r>
            <w:r w:rsidR="3FD78815" w:rsidRPr="409B4C76">
              <w:rPr>
                <w:rFonts w:ascii="Aptos" w:eastAsia="Aptos" w:hAnsi="Aptos" w:cs="Aptos"/>
              </w:rPr>
              <w:t>.</w:t>
            </w:r>
          </w:p>
          <w:p w14:paraId="08CD26DB" w14:textId="7CEB269D" w:rsidR="275543A2" w:rsidRDefault="275543A2" w:rsidP="275543A2">
            <w:pPr>
              <w:rPr>
                <w:rFonts w:ascii="Aptos" w:eastAsia="Aptos" w:hAnsi="Aptos" w:cs="Aptos"/>
                <w:u w:val="single"/>
              </w:rPr>
            </w:pPr>
          </w:p>
        </w:tc>
      </w:tr>
    </w:tbl>
    <w:p w14:paraId="23926393" w14:textId="7F482EF3" w:rsidR="764AB357" w:rsidRDefault="764AB357" w:rsidP="409B4C76">
      <w:pPr>
        <w:rPr>
          <w:rFonts w:ascii="Aptos" w:eastAsia="Aptos" w:hAnsi="Aptos" w:cs="Aptos"/>
        </w:rPr>
      </w:pPr>
      <w:r>
        <w:lastRenderedPageBreak/>
        <w:br/>
      </w:r>
    </w:p>
    <w:p w14:paraId="300F1CD7" w14:textId="2ED0B331" w:rsidR="2AE481DD" w:rsidRDefault="2AE481DD" w:rsidP="275543A2">
      <w:pPr>
        <w:rPr>
          <w:rFonts w:ascii="Aptos" w:eastAsia="Aptos" w:hAnsi="Aptos" w:cs="Aptos"/>
          <w:b/>
          <w:bCs/>
        </w:rPr>
      </w:pPr>
      <w:r w:rsidRPr="275543A2">
        <w:rPr>
          <w:rFonts w:ascii="Aptos" w:eastAsia="Aptos" w:hAnsi="Aptos" w:cs="Aptos"/>
          <w:b/>
          <w:bCs/>
        </w:rPr>
        <w:t xml:space="preserve"> </w:t>
      </w:r>
    </w:p>
    <w:p w14:paraId="6C6A99D3" w14:textId="36D657E3" w:rsidR="275543A2" w:rsidRDefault="275543A2" w:rsidP="275543A2">
      <w:pPr>
        <w:rPr>
          <w:rFonts w:ascii="Aptos" w:eastAsia="Aptos" w:hAnsi="Aptos" w:cs="Aptos"/>
        </w:rPr>
      </w:pPr>
    </w:p>
    <w:p w14:paraId="7EEE0BB9" w14:textId="5117694C" w:rsidR="275543A2" w:rsidRDefault="275543A2" w:rsidP="275543A2">
      <w:pPr>
        <w:rPr>
          <w:rFonts w:ascii="Aptos" w:eastAsia="Aptos" w:hAnsi="Aptos" w:cs="Aptos"/>
        </w:rPr>
      </w:pPr>
    </w:p>
    <w:p w14:paraId="7C6F2D97" w14:textId="7C71D3BF" w:rsidR="275543A2" w:rsidRDefault="275543A2" w:rsidP="275543A2">
      <w:pPr>
        <w:jc w:val="center"/>
        <w:rPr>
          <w:b/>
          <w:bCs/>
          <w:color w:val="002060"/>
        </w:rPr>
      </w:pPr>
    </w:p>
    <w:p w14:paraId="2B7FB58B" w14:textId="60F2CA34" w:rsidR="0F6678C2" w:rsidRDefault="0F6678C2" w:rsidP="275543A2">
      <w:r w:rsidRPr="275543A2">
        <w:rPr>
          <w:rFonts w:ascii="Aptos" w:eastAsia="Aptos" w:hAnsi="Aptos" w:cs="Aptos"/>
        </w:rPr>
        <w:t xml:space="preserve">  </w:t>
      </w:r>
    </w:p>
    <w:p w14:paraId="73B46886" w14:textId="77F968FD" w:rsidR="0F6678C2" w:rsidRDefault="0F6678C2" w:rsidP="275543A2">
      <w:pPr>
        <w:rPr>
          <w:rFonts w:ascii="Aptos" w:eastAsia="Aptos" w:hAnsi="Aptos" w:cs="Aptos"/>
        </w:rPr>
      </w:pPr>
      <w:r w:rsidRPr="275543A2">
        <w:rPr>
          <w:rFonts w:ascii="Aptos" w:eastAsia="Aptos" w:hAnsi="Aptos" w:cs="Aptos"/>
        </w:rPr>
        <w:t xml:space="preserve">. </w:t>
      </w:r>
    </w:p>
    <w:p w14:paraId="6FF31F30" w14:textId="74755630" w:rsidR="275543A2" w:rsidRDefault="275543A2"/>
    <w:sectPr w:rsidR="275543A2">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ongo, Sergio Martin" w:date="2025-08-12T12:58:00Z" w:initials="LS">
    <w:p w14:paraId="73FE476E" w14:textId="15937ECD" w:rsidR="00D02109" w:rsidRDefault="00000000">
      <w:r>
        <w:annotationRef/>
      </w:r>
      <w:r w:rsidRPr="3AD6FF67">
        <w:t xml:space="preserve">figura en el punto </w:t>
      </w:r>
      <w:r w:rsidRPr="6BE49E9F">
        <w:rPr>
          <w:b/>
          <w:bCs/>
        </w:rPr>
        <w:t>69.2.2.2</w:t>
      </w:r>
      <w:r w:rsidRPr="4F1F88D1">
        <w:t xml:space="preserve"> de la RUNOR, donde dice que </w:t>
      </w:r>
      <w:r w:rsidRPr="5F5A7825">
        <w:rPr>
          <w:i/>
          <w:iCs/>
        </w:rPr>
        <w:t>“Deberán grabarse las partidas que registren valor mayor a cero en el campo ‘Cantidad’”</w:t>
      </w:r>
      <w:r w:rsidRPr="32DEC15E">
        <w:t>.</w:t>
      </w:r>
    </w:p>
  </w:comment>
  <w:comment w:id="1" w:author="Longo, Sergio Martin" w:date="2025-08-12T12:59:00Z" w:initials="LS">
    <w:p w14:paraId="79FBA0D8" w14:textId="5173C206" w:rsidR="00D02109" w:rsidRDefault="00000000">
      <w:r>
        <w:annotationRef/>
      </w:r>
      <w:r w:rsidRPr="1509CC4C">
        <w:t xml:space="preserve">Com. “A” 8284, </w:t>
      </w:r>
      <w:r w:rsidRPr="644B96ED">
        <w:rPr>
          <w:b/>
          <w:bCs/>
        </w:rPr>
        <w:t>Sección I – Instrucciones generales</w:t>
      </w:r>
      <w:r w:rsidRPr="1F984610">
        <w:t>, que establece que la presentación de Apartados A y B vence el día 22 del mes siguiente.</w:t>
      </w:r>
    </w:p>
  </w:comment>
  <w:comment w:id="2" w:author="Longo, Sergio Martin" w:date="2025-08-12T13:01:00Z" w:initials="LS">
    <w:p w14:paraId="20F290AC" w14:textId="62DC256C" w:rsidR="00D02109" w:rsidRDefault="00000000">
      <w:r>
        <w:annotationRef/>
      </w:r>
      <w:r w:rsidRPr="4A0D6F75">
        <w:rPr>
          <w:b/>
          <w:bCs/>
        </w:rPr>
        <w:t>Aclara expectativas</w:t>
      </w:r>
      <w:r w:rsidRPr="290EE1D9">
        <w:t xml:space="preserve"> para quien arma el archivo: no es necesario enviar partidas en cero, salvo excepciones normativas.</w:t>
      </w:r>
    </w:p>
    <w:p w14:paraId="2065B5BF" w14:textId="6C6A23E2" w:rsidR="00D02109" w:rsidRDefault="00000000">
      <w:r w:rsidRPr="04ED909C">
        <w:rPr>
          <w:b/>
          <w:bCs/>
        </w:rPr>
        <w:t>Incluye el plazo de vencimiento</w:t>
      </w:r>
      <w:r w:rsidRPr="0E16B6C2">
        <w:t>, que suele ser una duda recurrente y evita tener que ir a buscarlo a otra parte del régimen.</w:t>
      </w:r>
    </w:p>
    <w:p w14:paraId="33F393C2" w14:textId="34ECCB44" w:rsidR="00D02109" w:rsidRDefault="00000000">
      <w:r w:rsidRPr="28B38947">
        <w:rPr>
          <w:b/>
          <w:bCs/>
        </w:rPr>
        <w:t>Refuerza la trazabilidad normativa</w:t>
      </w:r>
      <w:r w:rsidRPr="1E8E9473">
        <w:t>, mostrando que la respuesta se basa en la normativa vigente</w:t>
      </w:r>
    </w:p>
  </w:comment>
  <w:comment w:id="3" w:author="Longo, Sergio Martin" w:date="2025-12-03T13:01:00Z" w:initials="LS">
    <w:p w14:paraId="2E29D232" w14:textId="01A1B0C6" w:rsidR="00D02109" w:rsidRDefault="00000000">
      <w:r>
        <w:annotationRef/>
      </w:r>
      <w:r w:rsidRPr="40D14D68">
        <w:t>Mail de Firenzecoop, 21/08/2025</w:t>
      </w:r>
    </w:p>
  </w:comment>
  <w:comment w:id="4" w:author="Longo, Sergio Martin" w:date="2025-12-03T13:03:00Z" w:initials="LS">
    <w:p w14:paraId="6775CC57" w14:textId="414257D8" w:rsidR="00D02109" w:rsidRDefault="00000000">
      <w:r>
        <w:annotationRef/>
      </w:r>
      <w:r w:rsidRPr="537BEE92">
        <w:t xml:space="preserve">Respuesta Diego </w:t>
      </w:r>
    </w:p>
  </w:comment>
  <w:comment w:id="5" w:author="Longo, Sergio Martin" w:date="2026-05-12T16:12:00Z" w:initials="SL">
    <w:p w14:paraId="07D8D95D" w14:textId="4EE708F0" w:rsidR="009F38B1" w:rsidRDefault="009F38B1">
      <w:pPr>
        <w:pStyle w:val="Textocomentario"/>
      </w:pPr>
      <w:r>
        <w:rPr>
          <w:rStyle w:val="Refdecomentario"/>
        </w:rPr>
        <w:annotationRef/>
      </w:r>
      <w:r>
        <w:t>Respuesta de Vieites a TrustFintechnology fecha 16/03/2026</w:t>
      </w:r>
    </w:p>
  </w:comment>
  <w:comment w:id="6" w:author="Longo, Sergio Martin" w:date="2025-08-13T16:10:00Z" w:initials="LS">
    <w:p w14:paraId="5DB6AECB" w14:textId="43E5F809" w:rsidR="00D02109" w:rsidRDefault="00000000">
      <w:r>
        <w:annotationRef/>
      </w:r>
      <w:r w:rsidRPr="52750D95">
        <w:t>Mail de CLAROPAY, 24/04/2025</w:t>
      </w:r>
    </w:p>
  </w:comment>
  <w:comment w:id="7" w:author="Longo, Sergio Martin" w:date="2025-08-13T16:11:00Z" w:initials="LS">
    <w:p w14:paraId="56B7FF24" w14:textId="7A8539E1" w:rsidR="00D02109" w:rsidRDefault="00000000">
      <w:r>
        <w:annotationRef/>
      </w:r>
      <w:r w:rsidRPr="6D54C9BC">
        <w:t>Respuesta Diego 06/05/2025</w:t>
      </w:r>
    </w:p>
  </w:comment>
  <w:comment w:id="8" w:author="Longo, Sergio Martin" w:date="2025-08-13T16:13:00Z" w:initials="LS">
    <w:p w14:paraId="003DC41A" w14:textId="523C93D4" w:rsidR="00D02109" w:rsidRDefault="00000000">
      <w:r>
        <w:annotationRef/>
      </w:r>
      <w:r w:rsidRPr="156868BC">
        <w:t>Mail de CLAROPAY, 24/04/2025</w:t>
      </w:r>
    </w:p>
  </w:comment>
  <w:comment w:id="9" w:author="Longo, Sergio Martin" w:date="2025-08-13T16:13:00Z" w:initials="LS">
    <w:p w14:paraId="60098DB5" w14:textId="11406FFA" w:rsidR="00D02109" w:rsidRDefault="00000000">
      <w:r>
        <w:annotationRef/>
      </w:r>
      <w:r w:rsidRPr="730B5BD2">
        <w:t>Respuesta Diego 06/05/2025</w:t>
      </w:r>
    </w:p>
  </w:comment>
  <w:comment w:id="10" w:author="Longo, Sergio Martin" w:date="2025-08-13T16:40:00Z" w:initials="LS">
    <w:p w14:paraId="4139AC6F" w14:textId="4133ED3B" w:rsidR="00D02109" w:rsidRDefault="00000000">
      <w:r>
        <w:annotationRef/>
      </w:r>
      <w:r w:rsidRPr="39AB1730">
        <w:t>Mail de CREDINOS 27/05/2025</w:t>
      </w:r>
    </w:p>
  </w:comment>
  <w:comment w:id="11" w:author="Longo, Sergio Martin" w:date="2025-08-13T16:41:00Z" w:initials="LS">
    <w:p w14:paraId="636F9041" w14:textId="1ACD75B8" w:rsidR="00D02109" w:rsidRDefault="00000000">
      <w:r>
        <w:annotationRef/>
      </w:r>
      <w:r w:rsidRPr="58D4CB65">
        <w:t>Respuesta de Diego, 27/05/2025</w:t>
      </w:r>
    </w:p>
  </w:comment>
  <w:comment w:id="12" w:author="Longo, Sergio Martin" w:date="2025-12-03T11:59:00Z" w:initials="LS">
    <w:p w14:paraId="7B5FC390" w14:textId="6A37DD0E" w:rsidR="00D02109" w:rsidRDefault="00000000">
      <w:r>
        <w:annotationRef/>
      </w:r>
      <w:r w:rsidRPr="3FFAF4D0">
        <w:t>Consulta VIACORREO 21/08/2025</w:t>
      </w:r>
    </w:p>
  </w:comment>
  <w:comment w:id="13" w:author="Longo, Sergio Martin" w:date="2025-12-03T11:59:00Z" w:initials="LS">
    <w:p w14:paraId="6F7D8166" w14:textId="2C108F8F" w:rsidR="00D02109" w:rsidRDefault="00000000">
      <w:r>
        <w:annotationRef/>
      </w:r>
      <w:r w:rsidRPr="2ED047AA">
        <w:t>Respuesta mail Diego 21/08/2025</w:t>
      </w:r>
    </w:p>
  </w:comment>
  <w:comment w:id="14" w:author="Longo, Sergio Martin" w:date="2025-12-03T11:59:00Z" w:initials="LS">
    <w:p w14:paraId="1C20B3D4" w14:textId="31FB7070" w:rsidR="00D02109" w:rsidRDefault="00000000">
      <w:r>
        <w:annotationRef/>
      </w:r>
      <w:r w:rsidRPr="7BF441C7">
        <w:t>Consulta VIACORREO 21/08/2025</w:t>
      </w:r>
    </w:p>
  </w:comment>
  <w:comment w:id="15" w:author="Longo, Sergio Martin" w:date="2025-12-03T12:00:00Z" w:initials="LS">
    <w:p w14:paraId="76E71E79" w14:textId="44399A2F" w:rsidR="00D02109" w:rsidRDefault="00000000">
      <w:r>
        <w:annotationRef/>
      </w:r>
      <w:r w:rsidRPr="36CC6D54">
        <w:t>Respuesta Diego 21/08/2025</w:t>
      </w:r>
    </w:p>
  </w:comment>
  <w:comment w:id="16" w:author="Longo, Sergio Martin" w:date="2025-08-21T16:50:00Z" w:initials="LS">
    <w:p w14:paraId="7EECF631" w14:textId="569AAD09" w:rsidR="00D02109" w:rsidRDefault="00000000">
      <w:r>
        <w:annotationRef/>
      </w:r>
      <w:r w:rsidRPr="2CA184A6">
        <w:t>Respuesta de Diego a E-Cobros</w:t>
      </w:r>
    </w:p>
  </w:comment>
  <w:comment w:id="17" w:author="Longo, Sergio Martin" w:date="2026-05-12T16:47:00Z" w:initials="SL">
    <w:p w14:paraId="2D57D2D6" w14:textId="41FB7652" w:rsidR="003C1F79" w:rsidRDefault="003C1F79">
      <w:pPr>
        <w:pStyle w:val="Textocomentario"/>
      </w:pPr>
      <w:r>
        <w:rPr>
          <w:rStyle w:val="Refdecomentario"/>
        </w:rPr>
        <w:annotationRef/>
      </w:r>
      <w:r>
        <w:t>Respuesta de Leonardo Miliano a Finket fecha 12/02/2026</w:t>
      </w:r>
    </w:p>
  </w:comment>
  <w:comment w:id="18" w:author="Longo, Sergio Martin" w:date="2026-05-12T16:30:00Z" w:initials="SL">
    <w:p w14:paraId="2BB0CAAF" w14:textId="4B903D85" w:rsidR="009458B0" w:rsidRDefault="009458B0">
      <w:pPr>
        <w:pStyle w:val="Textocomentario"/>
      </w:pPr>
      <w:r>
        <w:rPr>
          <w:rStyle w:val="Refdecomentario"/>
        </w:rPr>
        <w:annotationRef/>
      </w:r>
      <w:r>
        <w:t>Respuesta de Vieites a Bitsion fecha 30/01/2026</w:t>
      </w:r>
    </w:p>
  </w:comment>
  <w:comment w:id="19" w:author="Longo, Sergio Martin" w:date="2025-08-21T16:37:00Z" w:initials="LS">
    <w:p w14:paraId="1DD40457" w14:textId="53A79067" w:rsidR="00D02109" w:rsidRDefault="00000000">
      <w:r>
        <w:annotationRef/>
      </w:r>
      <w:r w:rsidRPr="70AEBAE2">
        <w:t>Respuesta de M E Vieites a cgomez@vadiegsa.com</w:t>
      </w:r>
    </w:p>
  </w:comment>
  <w:comment w:id="20" w:author="Longo, Sergio Martin" w:date="2025-08-13T15:17:00Z" w:initials="LS">
    <w:p w14:paraId="42FA8C59" w14:textId="715003DC" w:rsidR="00D02109" w:rsidRDefault="00000000">
      <w:r>
        <w:annotationRef/>
      </w:r>
      <w:r w:rsidRPr="6B77004C">
        <w:t>Consulta nueva Mutual AMR - Mail 03/07/2025</w:t>
      </w:r>
    </w:p>
  </w:comment>
  <w:comment w:id="21" w:author="Longo, Sergio Martin" w:date="2025-08-13T15:25:00Z" w:initials="LS">
    <w:p w14:paraId="40EBE3CF" w14:textId="529059CC" w:rsidR="00D02109" w:rsidRDefault="00000000">
      <w:r>
        <w:annotationRef/>
      </w:r>
      <w:r w:rsidRPr="5C3F78A9">
        <w:t>Respuesta de Diego y Milano, Exequiel a Mutual AMR - Mail 25/03/2025</w:t>
      </w:r>
    </w:p>
  </w:comment>
  <w:comment w:id="22" w:author="Longo, Sergio Martin" w:date="2025-08-13T15:38:00Z" w:initials="LS">
    <w:p w14:paraId="36C070FA" w14:textId="216DD633" w:rsidR="00D02109" w:rsidRDefault="00000000">
      <w:r>
        <w:annotationRef/>
      </w:r>
      <w:r w:rsidRPr="4F027EF2">
        <w:t>Mail de ALZAGRO del 19/05/2025</w:t>
      </w:r>
    </w:p>
  </w:comment>
  <w:comment w:id="23" w:author="Longo, Sergio Martin" w:date="2025-08-13T15:37:00Z" w:initials="LS">
    <w:p w14:paraId="54AE1996" w14:textId="5D31FB88" w:rsidR="00D02109" w:rsidRDefault="00000000">
      <w:r>
        <w:annotationRef/>
      </w:r>
      <w:r w:rsidRPr="40F6B85F">
        <w:t>Respuesta Diego a ALZAGRO del 19/05/2025</w:t>
      </w:r>
    </w:p>
  </w:comment>
  <w:comment w:id="24" w:author="Longo, Sergio Martin" w:date="2025-08-13T15:44:00Z" w:initials="LS">
    <w:p w14:paraId="1B615C12" w14:textId="56537400" w:rsidR="00D02109" w:rsidRDefault="00000000">
      <w:r>
        <w:annotationRef/>
      </w:r>
      <w:r w:rsidRPr="1156876F">
        <w:t>Consulta ALZ AGRO del 20/05/2025</w:t>
      </w:r>
    </w:p>
  </w:comment>
  <w:comment w:id="25" w:author="Longo, Sergio Martin" w:date="2025-08-13T15:45:00Z" w:initials="LS">
    <w:p w14:paraId="10E9D18C" w14:textId="68745F77" w:rsidR="00D02109" w:rsidRDefault="00000000">
      <w:r>
        <w:annotationRef/>
      </w:r>
      <w:r w:rsidRPr="622A43D0">
        <w:t>Respuesta de Diego, 20/05/2025</w:t>
      </w:r>
    </w:p>
  </w:comment>
  <w:comment w:id="26" w:author="Longo, Sergio Martin" w:date="2025-08-13T15:44:00Z" w:initials="LS">
    <w:p w14:paraId="7636A09B" w14:textId="10BFEFF9" w:rsidR="00D02109" w:rsidRDefault="00000000">
      <w:r>
        <w:annotationRef/>
      </w:r>
      <w:r w:rsidRPr="4A004263">
        <w:t>Consulta ALZ AGRO del 20/05/2025</w:t>
      </w:r>
    </w:p>
  </w:comment>
  <w:comment w:id="27" w:author="Longo, Sergio Martin" w:date="2025-08-13T15:45:00Z" w:initials="LS">
    <w:p w14:paraId="27DD179E" w14:textId="1DE90E5E" w:rsidR="00D02109" w:rsidRDefault="00000000">
      <w:r>
        <w:annotationRef/>
      </w:r>
      <w:r w:rsidRPr="3C1B33EB">
        <w:t>Respuesta de Diego, 20/05/2025</w:t>
      </w:r>
    </w:p>
  </w:comment>
  <w:comment w:id="28" w:author="Longo, Sergio Martin" w:date="2025-08-13T15:56:00Z" w:initials="LS">
    <w:p w14:paraId="2FAC2B49" w14:textId="033F4D5B" w:rsidR="00D02109" w:rsidRDefault="00000000">
      <w:r>
        <w:annotationRef/>
      </w:r>
      <w:r w:rsidRPr="06BA3B67">
        <w:t>Consulta ALZ AGRO del 20/05/2025</w:t>
      </w:r>
    </w:p>
  </w:comment>
  <w:comment w:id="29" w:author="Longo, Sergio Martin" w:date="2025-08-13T15:56:00Z" w:initials="LS">
    <w:p w14:paraId="5296633A" w14:textId="5D586DFA" w:rsidR="00D02109" w:rsidRDefault="00000000">
      <w:r>
        <w:annotationRef/>
      </w:r>
      <w:r w:rsidRPr="5738CE13">
        <w:t>Respuesta de Diego, 20/05/2025</w:t>
      </w:r>
    </w:p>
  </w:comment>
  <w:comment w:id="30" w:author="Longo, Sergio Martin" w:date="2025-08-13T16:14:00Z" w:initials="LS">
    <w:p w14:paraId="21E07B9E" w14:textId="2FCA01F3" w:rsidR="00D02109" w:rsidRDefault="00000000">
      <w:r>
        <w:annotationRef/>
      </w:r>
      <w:r w:rsidRPr="375E8B77">
        <w:t>Mail de CLAROPAY, 24/04/2025</w:t>
      </w:r>
    </w:p>
  </w:comment>
  <w:comment w:id="31" w:author="Longo, Sergio Martin" w:date="2025-08-13T16:15:00Z" w:initials="LS">
    <w:p w14:paraId="754E9755" w14:textId="1495D9C6" w:rsidR="00D02109" w:rsidRDefault="00000000">
      <w:r>
        <w:annotationRef/>
      </w:r>
      <w:r w:rsidRPr="3CA156C9">
        <w:t>Respuesta Diego, 06/05/2025</w:t>
      </w:r>
    </w:p>
  </w:comment>
  <w:comment w:id="32" w:author="Longo, Sergio Martin" w:date="2025-08-13T16:25:00Z" w:initials="LS">
    <w:p w14:paraId="2C17DF6C" w14:textId="685E7811" w:rsidR="00D02109" w:rsidRDefault="00000000">
      <w:r>
        <w:annotationRef/>
      </w:r>
      <w:r w:rsidRPr="418F6F35">
        <w:t>Mail de CLAROPAY, 24/04/25</w:t>
      </w:r>
    </w:p>
  </w:comment>
  <w:comment w:id="33" w:author="Longo, Sergio Martin" w:date="2025-08-13T16:26:00Z" w:initials="LS">
    <w:p w14:paraId="0EBAC937" w14:textId="7B43D241" w:rsidR="00D02109" w:rsidRDefault="00000000">
      <w:r>
        <w:annotationRef/>
      </w:r>
      <w:r w:rsidRPr="69B7526E">
        <w:t>Respuesta Diego, 06/05/2025</w:t>
      </w:r>
    </w:p>
  </w:comment>
  <w:comment w:id="34" w:author="Longo, Sergio Martin" w:date="2025-08-13T16:25:00Z" w:initials="LS">
    <w:p w14:paraId="672803A9" w14:textId="26668E29" w:rsidR="00D02109" w:rsidRDefault="00000000">
      <w:r>
        <w:annotationRef/>
      </w:r>
      <w:r w:rsidRPr="1389CB25">
        <w:t>Mail de CLAROPAY, 24/04/25</w:t>
      </w:r>
    </w:p>
  </w:comment>
  <w:comment w:id="35" w:author="Longo, Sergio Martin" w:date="2025-08-13T16:26:00Z" w:initials="LS">
    <w:p w14:paraId="368B24E1" w14:textId="2699BF5D" w:rsidR="00D02109" w:rsidRDefault="00000000">
      <w:r>
        <w:annotationRef/>
      </w:r>
      <w:r w:rsidRPr="0EF299C5">
        <w:t>Respuesta Diego, 06/05/2025</w:t>
      </w:r>
    </w:p>
  </w:comment>
  <w:comment w:id="36" w:author="Longo, Sergio Martin" w:date="2025-08-13T16:25:00Z" w:initials="LS">
    <w:p w14:paraId="5790D58E" w14:textId="1BDFD91C" w:rsidR="00D02109" w:rsidRDefault="00000000">
      <w:r>
        <w:annotationRef/>
      </w:r>
      <w:r w:rsidRPr="231D3025">
        <w:t>Mail de CLAROPAY, 24/04/25</w:t>
      </w:r>
    </w:p>
  </w:comment>
  <w:comment w:id="37" w:author="Longo, Sergio Martin" w:date="2025-08-13T16:26:00Z" w:initials="LS">
    <w:p w14:paraId="0F95029A" w14:textId="53A605DC" w:rsidR="00D02109" w:rsidRDefault="00000000">
      <w:r>
        <w:annotationRef/>
      </w:r>
      <w:r w:rsidRPr="33EE7DB8">
        <w:t>Respuesta Diego, 06/05/2025</w:t>
      </w:r>
    </w:p>
  </w:comment>
  <w:comment w:id="38" w:author="Longo, Sergio Martin" w:date="2025-08-13T16:25:00Z" w:initials="LS">
    <w:p w14:paraId="4EEE2C9F" w14:textId="13D9832B" w:rsidR="00D02109" w:rsidRDefault="00000000">
      <w:r>
        <w:annotationRef/>
      </w:r>
      <w:r w:rsidRPr="62FEA4B6">
        <w:t>Mail de CLAROPAY, 24/04/25</w:t>
      </w:r>
    </w:p>
  </w:comment>
  <w:comment w:id="39" w:author="Longo, Sergio Martin" w:date="2025-08-13T16:26:00Z" w:initials="LS">
    <w:p w14:paraId="4BD0DCDF" w14:textId="3F7822A1" w:rsidR="00D02109" w:rsidRDefault="00000000">
      <w:r>
        <w:annotationRef/>
      </w:r>
      <w:r w:rsidRPr="711276C4">
        <w:t>Respuesta Diego, 06/05/2025</w:t>
      </w:r>
    </w:p>
  </w:comment>
  <w:comment w:id="40" w:author="Longo, Sergio Martin" w:date="2025-12-05T14:47:00Z" w:initials="LS">
    <w:p w14:paraId="549117C9" w14:textId="3426F953" w:rsidR="00D02109" w:rsidRDefault="00000000">
      <w:r>
        <w:annotationRef/>
      </w:r>
      <w:r w:rsidRPr="50CC93DC">
        <w:t xml:space="preserve">Es idem anterior pero mas generalizada, deberíamos considerar si dejamos esta pregunta, ambas o la anterior. </w:t>
      </w:r>
    </w:p>
  </w:comment>
  <w:comment w:id="41" w:author="Longo, Sergio Martin" w:date="2025-08-13T16:25:00Z" w:initials="LS">
    <w:p w14:paraId="3ADAC40B" w14:textId="7AB794DD" w:rsidR="00D02109" w:rsidRDefault="00000000">
      <w:r>
        <w:annotationRef/>
      </w:r>
      <w:r w:rsidRPr="159B0A44">
        <w:t>Mail de CLAROPAY, 24/04/25</w:t>
      </w:r>
    </w:p>
  </w:comment>
  <w:comment w:id="42" w:author="Longo, Sergio Martin" w:date="2025-08-13T16:26:00Z" w:initials="LS">
    <w:p w14:paraId="28888D37" w14:textId="66FE63CC" w:rsidR="00D02109" w:rsidRDefault="00000000">
      <w:r>
        <w:annotationRef/>
      </w:r>
      <w:r w:rsidRPr="3B70C094">
        <w:t>Respuesta Diego, 06/05/2025</w:t>
      </w:r>
    </w:p>
  </w:comment>
  <w:comment w:id="43" w:author="Longo, Sergio Martin" w:date="2025-08-13T16:25:00Z" w:initials="LS">
    <w:p w14:paraId="524815C4" w14:textId="67C552F9" w:rsidR="00D02109" w:rsidRDefault="00000000">
      <w:r>
        <w:annotationRef/>
      </w:r>
      <w:r w:rsidRPr="1EA175F8">
        <w:t>Mail de CLAROPAY, 24/04/25</w:t>
      </w:r>
    </w:p>
  </w:comment>
  <w:comment w:id="44" w:author="Longo, Sergio Martin" w:date="2025-08-13T16:26:00Z" w:initials="LS">
    <w:p w14:paraId="77A027B2" w14:textId="137E57C7" w:rsidR="00D02109" w:rsidRDefault="00000000">
      <w:r>
        <w:annotationRef/>
      </w:r>
      <w:r w:rsidRPr="4199FEA7">
        <w:t>Respuesta Diego, 06/05/2025</w:t>
      </w:r>
    </w:p>
  </w:comment>
  <w:comment w:id="45" w:author="Longo, Sergio Martin" w:date="2025-08-13T16:32:00Z" w:initials="LS">
    <w:p w14:paraId="6B314078" w14:textId="2D419F41" w:rsidR="00D02109" w:rsidRDefault="00000000">
      <w:r>
        <w:annotationRef/>
      </w:r>
      <w:r w:rsidRPr="5E13E7AB">
        <w:t>Mail de Mutual AMR, 14/04/2025</w:t>
      </w:r>
    </w:p>
  </w:comment>
  <w:comment w:id="46" w:author="Longo, Sergio Martin" w:date="2025-08-13T16:33:00Z" w:initials="LS">
    <w:p w14:paraId="6DFFFAAC" w14:textId="7B314658" w:rsidR="00D02109" w:rsidRDefault="00000000">
      <w:r>
        <w:annotationRef/>
      </w:r>
      <w:r w:rsidRPr="020FAFBC">
        <w:t>Respuesta de Leonardo Miliano, 14/04/2025</w:t>
      </w:r>
    </w:p>
  </w:comment>
  <w:comment w:id="47" w:author="Longo, Sergio Martin" w:date="2025-08-13T16:35:00Z" w:initials="LS">
    <w:p w14:paraId="7CDADB8F" w14:textId="1D186BD6" w:rsidR="00D02109" w:rsidRDefault="00000000">
      <w:r>
        <w:annotationRef/>
      </w:r>
      <w:r w:rsidRPr="4ACE557C">
        <w:t>Mail de Mutual AMR, 05/05/2025</w:t>
      </w:r>
    </w:p>
  </w:comment>
  <w:comment w:id="48" w:author="Longo, Sergio Martin" w:date="2025-08-13T16:36:00Z" w:initials="LS">
    <w:p w14:paraId="1A925739" w14:textId="2A12D46F" w:rsidR="00D02109" w:rsidRDefault="00000000">
      <w:r>
        <w:annotationRef/>
      </w:r>
      <w:r w:rsidRPr="130CF9BF">
        <w:t>Respuesta de Leo Miliano, 05/05/2025</w:t>
      </w:r>
    </w:p>
  </w:comment>
  <w:comment w:id="49" w:author="Longo, Sergio Martin" w:date="2025-12-03T12:26:00Z" w:initials="LS">
    <w:p w14:paraId="061A5A37" w14:textId="37BE47FD" w:rsidR="00D02109" w:rsidRDefault="00000000">
      <w:r>
        <w:annotationRef/>
      </w:r>
      <w:r w:rsidRPr="257D6F17">
        <w:t>Mail de Bind 20/08/2025</w:t>
      </w:r>
    </w:p>
  </w:comment>
  <w:comment w:id="50" w:author="Longo, Sergio Martin" w:date="2025-12-03T12:40:00Z" w:initials="LS">
    <w:p w14:paraId="6F20B9B7" w14:textId="66D558B5" w:rsidR="00D02109" w:rsidRDefault="00000000">
      <w:r>
        <w:annotationRef/>
      </w:r>
      <w:r w:rsidRPr="35E76016">
        <w:t>Respuesta a BIND, se agrego info adicional que no estuvo en la respuesta via mail.</w:t>
      </w:r>
    </w:p>
  </w:comment>
  <w:comment w:id="51" w:author="Longo, Sergio Martin" w:date="2026-05-12T16:06:00Z" w:initials="SL">
    <w:p w14:paraId="69CB1EDC" w14:textId="3297816E" w:rsidR="001F4F65" w:rsidRDefault="001F4F65">
      <w:pPr>
        <w:pStyle w:val="Textocomentario"/>
      </w:pPr>
      <w:r>
        <w:rPr>
          <w:rStyle w:val="Refdecomentario"/>
        </w:rPr>
        <w:annotationRef/>
      </w:r>
      <w:r>
        <w:t>Respuesta de Vieites a Payway fecha 12/05/2026</w:t>
      </w:r>
    </w:p>
  </w:comment>
  <w:comment w:id="52" w:author="Longo, Sergio Martin" w:date="2025-12-03T16:26:00Z" w:initials="LS">
    <w:p w14:paraId="1DF3E08C" w14:textId="5ED58516" w:rsidR="00D02109" w:rsidRDefault="00000000">
      <w:r>
        <w:annotationRef/>
      </w:r>
      <w:r w:rsidRPr="75099706">
        <w:t>Consultas revisadas con Leonardo Miliano y Diego</w:t>
      </w:r>
    </w:p>
  </w:comment>
  <w:comment w:id="53" w:author="Longo, Sergio Martin" w:date="2026-05-12T16:35:00Z" w:initials="SL">
    <w:p w14:paraId="0A099D37" w14:textId="2B87C595" w:rsidR="009458B0" w:rsidRDefault="009458B0">
      <w:pPr>
        <w:pStyle w:val="Textocomentario"/>
      </w:pPr>
      <w:r>
        <w:rPr>
          <w:rStyle w:val="Refdecomentario"/>
        </w:rPr>
        <w:annotationRef/>
      </w:r>
      <w:r>
        <w:t>Respuesta de Vieites a Bitsion fecha 30/01/2026</w:t>
      </w:r>
    </w:p>
  </w:comment>
  <w:comment w:id="54" w:author="Longo, Sergio Martin" w:date="2026-05-12T16:38:00Z" w:initials="SL">
    <w:p w14:paraId="6755A584" w14:textId="4B50A9FD" w:rsidR="009458B0" w:rsidRDefault="009458B0">
      <w:pPr>
        <w:pStyle w:val="Textocomentario"/>
      </w:pPr>
      <w:r>
        <w:rPr>
          <w:rStyle w:val="Refdecomentario"/>
        </w:rPr>
        <w:annotationRef/>
      </w:r>
      <w:r>
        <w:t>Respuesta de Vieites a Bitsion fecha 30/01/2026</w:t>
      </w:r>
    </w:p>
  </w:comment>
  <w:comment w:id="55" w:author="Longo, Sergio Martin" w:date="2026-05-12T16:39:00Z" w:initials="SL">
    <w:p w14:paraId="60153CD3" w14:textId="7B258CDB" w:rsidR="003C1F79" w:rsidRDefault="003C1F79">
      <w:pPr>
        <w:pStyle w:val="Textocomentario"/>
      </w:pPr>
      <w:r>
        <w:rPr>
          <w:rStyle w:val="Refdecomentario"/>
        </w:rPr>
        <w:annotationRef/>
      </w:r>
      <w:r>
        <w:t>Respuesta de Vieites a Bitsion fecha 30/01/2026</w:t>
      </w:r>
    </w:p>
  </w:comment>
  <w:comment w:id="56" w:author="Longo, Sergio Martin" w:date="2025-12-03T16:30:00Z" w:initials="LS">
    <w:p w14:paraId="2DE7C16C" w14:textId="304337B3" w:rsidR="00D02109" w:rsidRDefault="00000000">
      <w:r>
        <w:annotationRef/>
      </w:r>
      <w:r w:rsidRPr="1EE2A381">
        <w:t>Idem anterior, consultas revisadas con Leonardo Miliano y Diego. 09/09/2025</w:t>
      </w:r>
    </w:p>
  </w:comment>
  <w:comment w:id="57" w:author="Longo, Sergio Martin" w:date="2025-12-05T12:27:00Z" w:initials="LS">
    <w:p w14:paraId="78C66FE9" w14:textId="338B0ADC" w:rsidR="00D02109" w:rsidRDefault="00000000">
      <w:r>
        <w:annotationRef/>
      </w:r>
      <w:r w:rsidRPr="60271078">
        <w:t>Consulta FirenzeCoop 10/09</w:t>
      </w:r>
    </w:p>
  </w:comment>
  <w:comment w:id="58" w:author="Longo, Sergio Martin" w:date="2025-12-05T12:27:00Z" w:initials="LS">
    <w:p w14:paraId="62EC0110" w14:textId="66387957" w:rsidR="00D02109" w:rsidRDefault="00000000">
      <w:r>
        <w:annotationRef/>
      </w:r>
      <w:r w:rsidRPr="71312DBF">
        <w:t xml:space="preserve">Respuesta Diego </w:t>
      </w:r>
    </w:p>
  </w:comment>
  <w:comment w:id="59" w:author="Longo, Sergio Martin" w:date="2025-12-05T12:38:00Z" w:initials="LS">
    <w:p w14:paraId="0C0B47BC" w14:textId="1A02F3B0" w:rsidR="00D02109" w:rsidRDefault="00000000">
      <w:r>
        <w:annotationRef/>
      </w:r>
      <w:r w:rsidRPr="15D824A6">
        <w:t>Firenzecoop 10/09</w:t>
      </w:r>
    </w:p>
  </w:comment>
  <w:comment w:id="60" w:author="Longo, Sergio Martin" w:date="2025-12-05T12:39:00Z" w:initials="LS">
    <w:p w14:paraId="1D42B45C" w14:textId="38C2F30E" w:rsidR="00D02109" w:rsidRDefault="00000000">
      <w:r>
        <w:annotationRef/>
      </w:r>
      <w:r w:rsidRPr="02A0C13D">
        <w:t>Respuesta MEVieites</w:t>
      </w:r>
    </w:p>
  </w:comment>
  <w:comment w:id="61" w:author="Longo, Sergio Martin" w:date="2026-05-12T16:18:00Z" w:initials="SL">
    <w:p w14:paraId="5455E37E" w14:textId="27AA4BC3" w:rsidR="00B82BDF" w:rsidRDefault="00B82BDF">
      <w:pPr>
        <w:pStyle w:val="Textocomentario"/>
      </w:pPr>
      <w:r>
        <w:rPr>
          <w:rStyle w:val="Refdecomentario"/>
        </w:rPr>
        <w:annotationRef/>
      </w:r>
      <w:r>
        <w:t>Respuesta de Vieites a Nación Servicios fecha 10/03/2026</w:t>
      </w:r>
    </w:p>
  </w:comment>
  <w:comment w:id="62" w:author="Longo, Sergio Martin" w:date="2025-12-05T14:54:00Z" w:initials="LS">
    <w:p w14:paraId="4C2EA78F" w14:textId="01E0EA28" w:rsidR="00D02109" w:rsidRDefault="00000000">
      <w:r>
        <w:annotationRef/>
      </w:r>
      <w:r w:rsidRPr="592BB7A5">
        <w:t>Consulta Totalcoin 17/09/2025</w:t>
      </w:r>
    </w:p>
  </w:comment>
  <w:comment w:id="63" w:author="Longo, Sergio Martin" w:date="2025-12-05T14:56:00Z" w:initials="LS">
    <w:p w14:paraId="364BD258" w14:textId="7C8F2680" w:rsidR="00D02109" w:rsidRDefault="00000000">
      <w:r>
        <w:annotationRef/>
      </w:r>
      <w:r w:rsidRPr="61A60EDF">
        <w:t xml:space="preserve">Respuesta Diego, con algunas aclaraciones adicionales </w:t>
      </w:r>
    </w:p>
  </w:comment>
  <w:comment w:id="64" w:author="Longo, Sergio Martin" w:date="2026-05-12T16:56:00Z" w:initials="SL">
    <w:p w14:paraId="5C16C6E2" w14:textId="43403644" w:rsidR="00FD457F" w:rsidRDefault="00FD457F">
      <w:pPr>
        <w:pStyle w:val="Textocomentario"/>
      </w:pPr>
      <w:r>
        <w:rPr>
          <w:rStyle w:val="Refdecomentario"/>
        </w:rPr>
        <w:annotationRef/>
      </w:r>
      <w:r>
        <w:t>Corrección de respuesta a raíz de consulta de Estudio Gandara Arenzo &amp; De Las Carreras — respondida por Régimen Informativo (Vieites). Vencimiento es día 20 del mes subsiguiente; ejemplo trim jul-sep/25 vence 20/11/2025.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FE476E" w15:done="0"/>
  <w15:commentEx w15:paraId="79FBA0D8" w15:done="0"/>
  <w15:commentEx w15:paraId="33F393C2" w15:done="0"/>
  <w15:commentEx w15:paraId="2E29D232" w15:done="0"/>
  <w15:commentEx w15:paraId="6775CC57" w15:done="0"/>
  <w15:commentEx w15:paraId="07D8D95D" w15:done="0"/>
  <w15:commentEx w15:paraId="5DB6AECB" w15:done="0"/>
  <w15:commentEx w15:paraId="56B7FF24" w15:done="0"/>
  <w15:commentEx w15:paraId="003DC41A" w15:done="0"/>
  <w15:commentEx w15:paraId="60098DB5" w15:done="0"/>
  <w15:commentEx w15:paraId="4139AC6F" w15:done="0"/>
  <w15:commentEx w15:paraId="636F9041" w15:done="0"/>
  <w15:commentEx w15:paraId="7B5FC390" w15:done="0"/>
  <w15:commentEx w15:paraId="6F7D8166" w15:done="0"/>
  <w15:commentEx w15:paraId="1C20B3D4" w15:done="0"/>
  <w15:commentEx w15:paraId="76E71E79" w15:done="0"/>
  <w15:commentEx w15:paraId="7EECF631" w15:done="0"/>
  <w15:commentEx w15:paraId="2D57D2D6" w15:done="0"/>
  <w15:commentEx w15:paraId="2BB0CAAF" w15:done="0"/>
  <w15:commentEx w15:paraId="1DD40457" w15:done="0"/>
  <w15:commentEx w15:paraId="42FA8C59" w15:done="0"/>
  <w15:commentEx w15:paraId="40EBE3CF" w15:done="0"/>
  <w15:commentEx w15:paraId="36C070FA" w15:done="0"/>
  <w15:commentEx w15:paraId="54AE1996" w15:done="0"/>
  <w15:commentEx w15:paraId="1B615C12" w15:done="0"/>
  <w15:commentEx w15:paraId="10E9D18C" w15:done="0"/>
  <w15:commentEx w15:paraId="7636A09B" w15:done="0"/>
  <w15:commentEx w15:paraId="27DD179E" w15:done="0"/>
  <w15:commentEx w15:paraId="2FAC2B49" w15:done="0"/>
  <w15:commentEx w15:paraId="5296633A" w15:done="0"/>
  <w15:commentEx w15:paraId="21E07B9E" w15:done="0"/>
  <w15:commentEx w15:paraId="754E9755" w15:done="0"/>
  <w15:commentEx w15:paraId="2C17DF6C" w15:done="0"/>
  <w15:commentEx w15:paraId="0EBAC937" w15:done="0"/>
  <w15:commentEx w15:paraId="672803A9" w15:done="0"/>
  <w15:commentEx w15:paraId="368B24E1" w15:done="0"/>
  <w15:commentEx w15:paraId="5790D58E" w15:done="0"/>
  <w15:commentEx w15:paraId="0F95029A" w15:done="0"/>
  <w15:commentEx w15:paraId="4EEE2C9F" w15:done="0"/>
  <w15:commentEx w15:paraId="4BD0DCDF" w15:done="0"/>
  <w15:commentEx w15:paraId="549117C9" w15:done="0"/>
  <w15:commentEx w15:paraId="3ADAC40B" w15:done="0"/>
  <w15:commentEx w15:paraId="28888D37" w15:done="0"/>
  <w15:commentEx w15:paraId="524815C4" w15:done="0"/>
  <w15:commentEx w15:paraId="77A027B2" w15:done="0"/>
  <w15:commentEx w15:paraId="6B314078" w15:done="0"/>
  <w15:commentEx w15:paraId="6DFFFAAC" w15:done="0"/>
  <w15:commentEx w15:paraId="7CDADB8F" w15:done="0"/>
  <w15:commentEx w15:paraId="1A925739" w15:done="0"/>
  <w15:commentEx w15:paraId="061A5A37" w15:done="0"/>
  <w15:commentEx w15:paraId="6F20B9B7" w15:done="0"/>
  <w15:commentEx w15:paraId="69CB1EDC" w15:done="0"/>
  <w15:commentEx w15:paraId="1DF3E08C" w15:done="0"/>
  <w15:commentEx w15:paraId="0A099D37" w15:done="0"/>
  <w15:commentEx w15:paraId="6755A584" w15:done="0"/>
  <w15:commentEx w15:paraId="60153CD3" w15:done="0"/>
  <w15:commentEx w15:paraId="2DE7C16C" w15:done="0"/>
  <w15:commentEx w15:paraId="78C66FE9" w15:done="0"/>
  <w15:commentEx w15:paraId="62EC0110" w15:done="0"/>
  <w15:commentEx w15:paraId="0C0B47BC" w15:done="0"/>
  <w15:commentEx w15:paraId="1D42B45C" w15:done="0"/>
  <w15:commentEx w15:paraId="5455E37E" w15:done="0"/>
  <w15:commentEx w15:paraId="4C2EA78F" w15:done="0"/>
  <w15:commentEx w15:paraId="364BD258" w15:done="0"/>
  <w15:commentEx w15:paraId="5C16C6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459656" w16cex:dateUtc="2025-08-12T15:58:00Z"/>
  <w16cex:commentExtensible w16cex:durableId="49160082" w16cex:dateUtc="2025-08-12T15:59:00Z"/>
  <w16cex:commentExtensible w16cex:durableId="43AB9226" w16cex:dateUtc="2025-08-12T16:01:00Z"/>
  <w16cex:commentExtensible w16cex:durableId="5D3D38B4" w16cex:dateUtc="2025-12-03T16:01:00Z"/>
  <w16cex:commentExtensible w16cex:durableId="7D4BEF2B" w16cex:dateUtc="2025-12-03T16:03:00Z"/>
  <w16cex:commentExtensible w16cex:durableId="6A7AB740" w16cex:dateUtc="2026-05-12T19:12:00Z"/>
  <w16cex:commentExtensible w16cex:durableId="4550E32D" w16cex:dateUtc="2025-08-13T19:10:00Z"/>
  <w16cex:commentExtensible w16cex:durableId="65D84861" w16cex:dateUtc="2025-08-13T19:11:00Z"/>
  <w16cex:commentExtensible w16cex:durableId="48FE2ED4" w16cex:dateUtc="2025-08-13T19:13:00Z"/>
  <w16cex:commentExtensible w16cex:durableId="7A1C2A62" w16cex:dateUtc="2025-08-13T19:13:00Z"/>
  <w16cex:commentExtensible w16cex:durableId="60A50750" w16cex:dateUtc="2025-08-13T19:40:00Z"/>
  <w16cex:commentExtensible w16cex:durableId="09D78C81" w16cex:dateUtc="2025-08-13T19:41:00Z"/>
  <w16cex:commentExtensible w16cex:durableId="23518372" w16cex:dateUtc="2025-12-03T14:59:00Z"/>
  <w16cex:commentExtensible w16cex:durableId="1517DA98" w16cex:dateUtc="2025-12-03T14:59:00Z"/>
  <w16cex:commentExtensible w16cex:durableId="0411B95A" w16cex:dateUtc="2025-12-03T14:59:00Z"/>
  <w16cex:commentExtensible w16cex:durableId="6A036CFB" w16cex:dateUtc="2025-12-03T15:00:00Z"/>
  <w16cex:commentExtensible w16cex:durableId="0087A2E3" w16cex:dateUtc="2025-08-21T19:50:00Z"/>
  <w16cex:commentExtensible w16cex:durableId="4E6DDC39" w16cex:dateUtc="2026-05-12T19:47:00Z"/>
  <w16cex:commentExtensible w16cex:durableId="0964F6B2" w16cex:dateUtc="2026-05-12T19:30:00Z"/>
  <w16cex:commentExtensible w16cex:durableId="1C6A6BE4" w16cex:dateUtc="2025-08-21T19:37:00Z"/>
  <w16cex:commentExtensible w16cex:durableId="0F987222" w16cex:dateUtc="2025-08-13T18:17:00Z"/>
  <w16cex:commentExtensible w16cex:durableId="481A723C" w16cex:dateUtc="2025-08-13T18:25:00Z"/>
  <w16cex:commentExtensible w16cex:durableId="011E552F" w16cex:dateUtc="2025-08-13T18:38:00Z"/>
  <w16cex:commentExtensible w16cex:durableId="3BFCA308" w16cex:dateUtc="2025-08-13T18:37:00Z"/>
  <w16cex:commentExtensible w16cex:durableId="3D1EA83B" w16cex:dateUtc="2025-08-13T18:44:00Z"/>
  <w16cex:commentExtensible w16cex:durableId="152A650C" w16cex:dateUtc="2025-08-13T18:45:00Z"/>
  <w16cex:commentExtensible w16cex:durableId="0DBBBDD3" w16cex:dateUtc="2025-08-13T18:44:00Z"/>
  <w16cex:commentExtensible w16cex:durableId="6E85E184" w16cex:dateUtc="2025-08-13T18:45:00Z"/>
  <w16cex:commentExtensible w16cex:durableId="1A52A038" w16cex:dateUtc="2025-08-13T18:56:00Z"/>
  <w16cex:commentExtensible w16cex:durableId="0C2218A9" w16cex:dateUtc="2025-08-13T18:56:00Z"/>
  <w16cex:commentExtensible w16cex:durableId="2D0FE890" w16cex:dateUtc="2025-08-13T19:14:00Z"/>
  <w16cex:commentExtensible w16cex:durableId="2DB85F91" w16cex:dateUtc="2025-08-13T19:15:00Z"/>
  <w16cex:commentExtensible w16cex:durableId="6D984F79" w16cex:dateUtc="2025-08-13T19:25:00Z"/>
  <w16cex:commentExtensible w16cex:durableId="5065264E" w16cex:dateUtc="2025-08-13T19:26:00Z"/>
  <w16cex:commentExtensible w16cex:durableId="669E650A" w16cex:dateUtc="2025-08-13T19:25:00Z"/>
  <w16cex:commentExtensible w16cex:durableId="5A55BFC6" w16cex:dateUtc="2025-08-13T19:26:00Z"/>
  <w16cex:commentExtensible w16cex:durableId="66FDF9EB" w16cex:dateUtc="2025-08-13T19:25:00Z"/>
  <w16cex:commentExtensible w16cex:durableId="606B74C7" w16cex:dateUtc="2025-08-13T19:26:00Z"/>
  <w16cex:commentExtensible w16cex:durableId="770EB976" w16cex:dateUtc="2025-08-13T19:25:00Z"/>
  <w16cex:commentExtensible w16cex:durableId="5B3938EF" w16cex:dateUtc="2025-08-13T19:26:00Z"/>
  <w16cex:commentExtensible w16cex:durableId="69BF611F" w16cex:dateUtc="2025-12-05T17:47:00Z"/>
  <w16cex:commentExtensible w16cex:durableId="0EFBF7F4" w16cex:dateUtc="2025-08-13T19:25:00Z"/>
  <w16cex:commentExtensible w16cex:durableId="5A2E4B12" w16cex:dateUtc="2025-08-13T19:26:00Z"/>
  <w16cex:commentExtensible w16cex:durableId="371C65F5" w16cex:dateUtc="2025-08-13T19:25:00Z"/>
  <w16cex:commentExtensible w16cex:durableId="65952B88" w16cex:dateUtc="2025-08-13T19:26:00Z"/>
  <w16cex:commentExtensible w16cex:durableId="60E425F1" w16cex:dateUtc="2025-08-13T19:32:00Z"/>
  <w16cex:commentExtensible w16cex:durableId="3216D0E9" w16cex:dateUtc="2025-08-13T19:33:00Z"/>
  <w16cex:commentExtensible w16cex:durableId="0813C630" w16cex:dateUtc="2025-08-13T19:35:00Z"/>
  <w16cex:commentExtensible w16cex:durableId="56B113C9" w16cex:dateUtc="2025-08-13T19:36:00Z"/>
  <w16cex:commentExtensible w16cex:durableId="28126004" w16cex:dateUtc="2025-12-03T15:26:00Z"/>
  <w16cex:commentExtensible w16cex:durableId="51EE0389" w16cex:dateUtc="2025-12-03T15:40:00Z"/>
  <w16cex:commentExtensible w16cex:durableId="6740B138" w16cex:dateUtc="2026-05-12T19:06:00Z"/>
  <w16cex:commentExtensible w16cex:durableId="6B9C03DF" w16cex:dateUtc="2025-12-03T19:26:00Z"/>
  <w16cex:commentExtensible w16cex:durableId="76B2870C" w16cex:dateUtc="2026-05-12T19:35:00Z"/>
  <w16cex:commentExtensible w16cex:durableId="0F7FA993" w16cex:dateUtc="2026-05-12T19:38:00Z"/>
  <w16cex:commentExtensible w16cex:durableId="764973ED" w16cex:dateUtc="2026-05-12T19:39:00Z"/>
  <w16cex:commentExtensible w16cex:durableId="73378462" w16cex:dateUtc="2025-12-03T19:30:00Z"/>
  <w16cex:commentExtensible w16cex:durableId="24DF5039" w16cex:dateUtc="2025-12-05T15:27:00Z"/>
  <w16cex:commentExtensible w16cex:durableId="4C48C0A8" w16cex:dateUtc="2025-12-05T15:27:00Z"/>
  <w16cex:commentExtensible w16cex:durableId="4B613F77" w16cex:dateUtc="2025-12-05T15:38:00Z"/>
  <w16cex:commentExtensible w16cex:durableId="01D43A8D" w16cex:dateUtc="2025-12-05T15:39:00Z"/>
  <w16cex:commentExtensible w16cex:durableId="01AE693F" w16cex:dateUtc="2026-05-12T19:18:00Z"/>
  <w16cex:commentExtensible w16cex:durableId="476949D0" w16cex:dateUtc="2025-12-05T17:54:00Z"/>
  <w16cex:commentExtensible w16cex:durableId="3826CC23" w16cex:dateUtc="2025-12-05T17:56:00Z"/>
  <w16cex:commentExtensible w16cex:durableId="0B5A2ADF" w16cex:dateUtc="2026-05-12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FE476E" w16cid:durableId="7A459656"/>
  <w16cid:commentId w16cid:paraId="79FBA0D8" w16cid:durableId="49160082"/>
  <w16cid:commentId w16cid:paraId="33F393C2" w16cid:durableId="43AB9226"/>
  <w16cid:commentId w16cid:paraId="2E29D232" w16cid:durableId="5D3D38B4"/>
  <w16cid:commentId w16cid:paraId="6775CC57" w16cid:durableId="7D4BEF2B"/>
  <w16cid:commentId w16cid:paraId="07D8D95D" w16cid:durableId="6A7AB740"/>
  <w16cid:commentId w16cid:paraId="5DB6AECB" w16cid:durableId="4550E32D"/>
  <w16cid:commentId w16cid:paraId="56B7FF24" w16cid:durableId="65D84861"/>
  <w16cid:commentId w16cid:paraId="003DC41A" w16cid:durableId="48FE2ED4"/>
  <w16cid:commentId w16cid:paraId="60098DB5" w16cid:durableId="7A1C2A62"/>
  <w16cid:commentId w16cid:paraId="4139AC6F" w16cid:durableId="60A50750"/>
  <w16cid:commentId w16cid:paraId="636F9041" w16cid:durableId="09D78C81"/>
  <w16cid:commentId w16cid:paraId="7B5FC390" w16cid:durableId="23518372"/>
  <w16cid:commentId w16cid:paraId="6F7D8166" w16cid:durableId="1517DA98"/>
  <w16cid:commentId w16cid:paraId="1C20B3D4" w16cid:durableId="0411B95A"/>
  <w16cid:commentId w16cid:paraId="76E71E79" w16cid:durableId="6A036CFB"/>
  <w16cid:commentId w16cid:paraId="7EECF631" w16cid:durableId="0087A2E3"/>
  <w16cid:commentId w16cid:paraId="2D57D2D6" w16cid:durableId="4E6DDC39"/>
  <w16cid:commentId w16cid:paraId="2BB0CAAF" w16cid:durableId="0964F6B2"/>
  <w16cid:commentId w16cid:paraId="1DD40457" w16cid:durableId="1C6A6BE4"/>
  <w16cid:commentId w16cid:paraId="42FA8C59" w16cid:durableId="0F987222"/>
  <w16cid:commentId w16cid:paraId="40EBE3CF" w16cid:durableId="481A723C"/>
  <w16cid:commentId w16cid:paraId="36C070FA" w16cid:durableId="011E552F"/>
  <w16cid:commentId w16cid:paraId="54AE1996" w16cid:durableId="3BFCA308"/>
  <w16cid:commentId w16cid:paraId="1B615C12" w16cid:durableId="3D1EA83B"/>
  <w16cid:commentId w16cid:paraId="10E9D18C" w16cid:durableId="152A650C"/>
  <w16cid:commentId w16cid:paraId="7636A09B" w16cid:durableId="0DBBBDD3"/>
  <w16cid:commentId w16cid:paraId="27DD179E" w16cid:durableId="6E85E184"/>
  <w16cid:commentId w16cid:paraId="2FAC2B49" w16cid:durableId="1A52A038"/>
  <w16cid:commentId w16cid:paraId="5296633A" w16cid:durableId="0C2218A9"/>
  <w16cid:commentId w16cid:paraId="21E07B9E" w16cid:durableId="2D0FE890"/>
  <w16cid:commentId w16cid:paraId="754E9755" w16cid:durableId="2DB85F91"/>
  <w16cid:commentId w16cid:paraId="2C17DF6C" w16cid:durableId="6D984F79"/>
  <w16cid:commentId w16cid:paraId="0EBAC937" w16cid:durableId="5065264E"/>
  <w16cid:commentId w16cid:paraId="672803A9" w16cid:durableId="669E650A"/>
  <w16cid:commentId w16cid:paraId="368B24E1" w16cid:durableId="5A55BFC6"/>
  <w16cid:commentId w16cid:paraId="5790D58E" w16cid:durableId="66FDF9EB"/>
  <w16cid:commentId w16cid:paraId="0F95029A" w16cid:durableId="606B74C7"/>
  <w16cid:commentId w16cid:paraId="4EEE2C9F" w16cid:durableId="770EB976"/>
  <w16cid:commentId w16cid:paraId="4BD0DCDF" w16cid:durableId="5B3938EF"/>
  <w16cid:commentId w16cid:paraId="549117C9" w16cid:durableId="69BF611F"/>
  <w16cid:commentId w16cid:paraId="3ADAC40B" w16cid:durableId="0EFBF7F4"/>
  <w16cid:commentId w16cid:paraId="28888D37" w16cid:durableId="5A2E4B12"/>
  <w16cid:commentId w16cid:paraId="524815C4" w16cid:durableId="371C65F5"/>
  <w16cid:commentId w16cid:paraId="77A027B2" w16cid:durableId="65952B88"/>
  <w16cid:commentId w16cid:paraId="6B314078" w16cid:durableId="60E425F1"/>
  <w16cid:commentId w16cid:paraId="6DFFFAAC" w16cid:durableId="3216D0E9"/>
  <w16cid:commentId w16cid:paraId="7CDADB8F" w16cid:durableId="0813C630"/>
  <w16cid:commentId w16cid:paraId="1A925739" w16cid:durableId="56B113C9"/>
  <w16cid:commentId w16cid:paraId="061A5A37" w16cid:durableId="28126004"/>
  <w16cid:commentId w16cid:paraId="6F20B9B7" w16cid:durableId="51EE0389"/>
  <w16cid:commentId w16cid:paraId="69CB1EDC" w16cid:durableId="6740B138"/>
  <w16cid:commentId w16cid:paraId="1DF3E08C" w16cid:durableId="6B9C03DF"/>
  <w16cid:commentId w16cid:paraId="0A099D37" w16cid:durableId="76B2870C"/>
  <w16cid:commentId w16cid:paraId="6755A584" w16cid:durableId="0F7FA993"/>
  <w16cid:commentId w16cid:paraId="60153CD3" w16cid:durableId="764973ED"/>
  <w16cid:commentId w16cid:paraId="2DE7C16C" w16cid:durableId="73378462"/>
  <w16cid:commentId w16cid:paraId="78C66FE9" w16cid:durableId="24DF5039"/>
  <w16cid:commentId w16cid:paraId="62EC0110" w16cid:durableId="4C48C0A8"/>
  <w16cid:commentId w16cid:paraId="0C0B47BC" w16cid:durableId="4B613F77"/>
  <w16cid:commentId w16cid:paraId="1D42B45C" w16cid:durableId="01D43A8D"/>
  <w16cid:commentId w16cid:paraId="5455E37E" w16cid:durableId="01AE693F"/>
  <w16cid:commentId w16cid:paraId="4C2EA78F" w16cid:durableId="476949D0"/>
  <w16cid:commentId w16cid:paraId="364BD258" w16cid:durableId="3826CC23"/>
  <w16cid:commentId w16cid:paraId="5C16C6E2" w16cid:durableId="0B5A2A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146EE" w14:textId="77777777" w:rsidR="00CB3766" w:rsidRDefault="00CB3766" w:rsidP="00E528D4">
      <w:pPr>
        <w:spacing w:after="0" w:line="240" w:lineRule="auto"/>
      </w:pPr>
      <w:r>
        <w:separator/>
      </w:r>
    </w:p>
  </w:endnote>
  <w:endnote w:type="continuationSeparator" w:id="0">
    <w:p w14:paraId="0C862CD1" w14:textId="77777777" w:rsidR="00CB3766" w:rsidRDefault="00CB3766" w:rsidP="00E52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1069" w14:textId="77777777" w:rsidR="00E528D4" w:rsidRDefault="00E528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0656E" w14:textId="77777777" w:rsidR="00E528D4" w:rsidRDefault="00E528D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35F6D" w14:textId="77777777" w:rsidR="00E528D4" w:rsidRDefault="00E528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0157" w14:textId="77777777" w:rsidR="00CB3766" w:rsidRDefault="00CB3766" w:rsidP="00E528D4">
      <w:pPr>
        <w:spacing w:after="0" w:line="240" w:lineRule="auto"/>
      </w:pPr>
      <w:r>
        <w:separator/>
      </w:r>
    </w:p>
  </w:footnote>
  <w:footnote w:type="continuationSeparator" w:id="0">
    <w:p w14:paraId="419E7CF5" w14:textId="77777777" w:rsidR="00CB3766" w:rsidRDefault="00CB3766" w:rsidP="00E528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FABC" w14:textId="77777777" w:rsidR="00E528D4" w:rsidRDefault="00E528D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F05CC" w14:textId="77777777" w:rsidR="00E528D4" w:rsidRDefault="00E528D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0F1C" w14:textId="77777777" w:rsidR="00E528D4" w:rsidRDefault="00E528D4">
    <w:pPr>
      <w:pStyle w:val="Encabezado"/>
    </w:pPr>
  </w:p>
</w:hdr>
</file>

<file path=word/intelligence2.xml><?xml version="1.0" encoding="utf-8"?>
<int2:intelligence xmlns:int2="http://schemas.microsoft.com/office/intelligence/2020/intelligence" xmlns:oel="http://schemas.microsoft.com/office/2019/extlst">
  <int2:observations>
    <int2:textHash int2:hashCode="JaPGklXL1YsXKI" int2:id="dqcD3hE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5006"/>
    <w:multiLevelType w:val="hybridMultilevel"/>
    <w:tmpl w:val="1A9640A8"/>
    <w:lvl w:ilvl="0" w:tplc="DA326C10">
      <w:start w:val="1"/>
      <w:numFmt w:val="bullet"/>
      <w:lvlText w:val=""/>
      <w:lvlJc w:val="left"/>
      <w:pPr>
        <w:ind w:left="720" w:hanging="360"/>
      </w:pPr>
      <w:rPr>
        <w:rFonts w:ascii="Symbol" w:hAnsi="Symbol" w:hint="default"/>
      </w:rPr>
    </w:lvl>
    <w:lvl w:ilvl="1" w:tplc="44500FBC">
      <w:start w:val="1"/>
      <w:numFmt w:val="bullet"/>
      <w:lvlText w:val="o"/>
      <w:lvlJc w:val="left"/>
      <w:pPr>
        <w:ind w:left="1440" w:hanging="360"/>
      </w:pPr>
      <w:rPr>
        <w:rFonts w:ascii="Courier New" w:hAnsi="Courier New" w:hint="default"/>
      </w:rPr>
    </w:lvl>
    <w:lvl w:ilvl="2" w:tplc="101AF130">
      <w:start w:val="1"/>
      <w:numFmt w:val="bullet"/>
      <w:lvlText w:val=""/>
      <w:lvlJc w:val="left"/>
      <w:pPr>
        <w:ind w:left="2160" w:hanging="360"/>
      </w:pPr>
      <w:rPr>
        <w:rFonts w:ascii="Wingdings" w:hAnsi="Wingdings" w:hint="default"/>
      </w:rPr>
    </w:lvl>
    <w:lvl w:ilvl="3" w:tplc="5CA6BA30">
      <w:start w:val="1"/>
      <w:numFmt w:val="bullet"/>
      <w:lvlText w:val=""/>
      <w:lvlJc w:val="left"/>
      <w:pPr>
        <w:ind w:left="2880" w:hanging="360"/>
      </w:pPr>
      <w:rPr>
        <w:rFonts w:ascii="Symbol" w:hAnsi="Symbol" w:hint="default"/>
      </w:rPr>
    </w:lvl>
    <w:lvl w:ilvl="4" w:tplc="6C3470EA">
      <w:start w:val="1"/>
      <w:numFmt w:val="bullet"/>
      <w:lvlText w:val="o"/>
      <w:lvlJc w:val="left"/>
      <w:pPr>
        <w:ind w:left="3600" w:hanging="360"/>
      </w:pPr>
      <w:rPr>
        <w:rFonts w:ascii="Courier New" w:hAnsi="Courier New" w:hint="default"/>
      </w:rPr>
    </w:lvl>
    <w:lvl w:ilvl="5" w:tplc="3B1E79C6">
      <w:start w:val="1"/>
      <w:numFmt w:val="bullet"/>
      <w:lvlText w:val=""/>
      <w:lvlJc w:val="left"/>
      <w:pPr>
        <w:ind w:left="4320" w:hanging="360"/>
      </w:pPr>
      <w:rPr>
        <w:rFonts w:ascii="Wingdings" w:hAnsi="Wingdings" w:hint="default"/>
      </w:rPr>
    </w:lvl>
    <w:lvl w:ilvl="6" w:tplc="FED861F0">
      <w:start w:val="1"/>
      <w:numFmt w:val="bullet"/>
      <w:lvlText w:val=""/>
      <w:lvlJc w:val="left"/>
      <w:pPr>
        <w:ind w:left="5040" w:hanging="360"/>
      </w:pPr>
      <w:rPr>
        <w:rFonts w:ascii="Symbol" w:hAnsi="Symbol" w:hint="default"/>
      </w:rPr>
    </w:lvl>
    <w:lvl w:ilvl="7" w:tplc="CBC03594">
      <w:start w:val="1"/>
      <w:numFmt w:val="bullet"/>
      <w:lvlText w:val="o"/>
      <w:lvlJc w:val="left"/>
      <w:pPr>
        <w:ind w:left="5760" w:hanging="360"/>
      </w:pPr>
      <w:rPr>
        <w:rFonts w:ascii="Courier New" w:hAnsi="Courier New" w:hint="default"/>
      </w:rPr>
    </w:lvl>
    <w:lvl w:ilvl="8" w:tplc="F63631C8">
      <w:start w:val="1"/>
      <w:numFmt w:val="bullet"/>
      <w:lvlText w:val=""/>
      <w:lvlJc w:val="left"/>
      <w:pPr>
        <w:ind w:left="6480" w:hanging="360"/>
      </w:pPr>
      <w:rPr>
        <w:rFonts w:ascii="Wingdings" w:hAnsi="Wingdings" w:hint="default"/>
      </w:rPr>
    </w:lvl>
  </w:abstractNum>
  <w:abstractNum w:abstractNumId="1" w15:restartNumberingAfterBreak="0">
    <w:nsid w:val="0F45F421"/>
    <w:multiLevelType w:val="hybridMultilevel"/>
    <w:tmpl w:val="19D44456"/>
    <w:lvl w:ilvl="0" w:tplc="235496DC">
      <w:start w:val="1"/>
      <w:numFmt w:val="bullet"/>
      <w:lvlText w:val=""/>
      <w:lvlJc w:val="left"/>
      <w:pPr>
        <w:ind w:left="720" w:hanging="360"/>
      </w:pPr>
      <w:rPr>
        <w:rFonts w:ascii="Symbol" w:hAnsi="Symbol" w:hint="default"/>
      </w:rPr>
    </w:lvl>
    <w:lvl w:ilvl="1" w:tplc="025E2666">
      <w:start w:val="1"/>
      <w:numFmt w:val="bullet"/>
      <w:lvlText w:val="o"/>
      <w:lvlJc w:val="left"/>
      <w:pPr>
        <w:ind w:left="1440" w:hanging="360"/>
      </w:pPr>
      <w:rPr>
        <w:rFonts w:ascii="Courier New" w:hAnsi="Courier New" w:hint="default"/>
      </w:rPr>
    </w:lvl>
    <w:lvl w:ilvl="2" w:tplc="5BB0C6CE">
      <w:start w:val="1"/>
      <w:numFmt w:val="bullet"/>
      <w:lvlText w:val=""/>
      <w:lvlJc w:val="left"/>
      <w:pPr>
        <w:ind w:left="2160" w:hanging="360"/>
      </w:pPr>
      <w:rPr>
        <w:rFonts w:ascii="Wingdings" w:hAnsi="Wingdings" w:hint="default"/>
      </w:rPr>
    </w:lvl>
    <w:lvl w:ilvl="3" w:tplc="666CD7E0">
      <w:start w:val="1"/>
      <w:numFmt w:val="bullet"/>
      <w:lvlText w:val=""/>
      <w:lvlJc w:val="left"/>
      <w:pPr>
        <w:ind w:left="2880" w:hanging="360"/>
      </w:pPr>
      <w:rPr>
        <w:rFonts w:ascii="Symbol" w:hAnsi="Symbol" w:hint="default"/>
      </w:rPr>
    </w:lvl>
    <w:lvl w:ilvl="4" w:tplc="360E0234">
      <w:start w:val="1"/>
      <w:numFmt w:val="bullet"/>
      <w:lvlText w:val="o"/>
      <w:lvlJc w:val="left"/>
      <w:pPr>
        <w:ind w:left="3600" w:hanging="360"/>
      </w:pPr>
      <w:rPr>
        <w:rFonts w:ascii="Courier New" w:hAnsi="Courier New" w:hint="default"/>
      </w:rPr>
    </w:lvl>
    <w:lvl w:ilvl="5" w:tplc="034CB53A">
      <w:start w:val="1"/>
      <w:numFmt w:val="bullet"/>
      <w:lvlText w:val=""/>
      <w:lvlJc w:val="left"/>
      <w:pPr>
        <w:ind w:left="4320" w:hanging="360"/>
      </w:pPr>
      <w:rPr>
        <w:rFonts w:ascii="Wingdings" w:hAnsi="Wingdings" w:hint="default"/>
      </w:rPr>
    </w:lvl>
    <w:lvl w:ilvl="6" w:tplc="F8AEF88A">
      <w:start w:val="1"/>
      <w:numFmt w:val="bullet"/>
      <w:lvlText w:val=""/>
      <w:lvlJc w:val="left"/>
      <w:pPr>
        <w:ind w:left="5040" w:hanging="360"/>
      </w:pPr>
      <w:rPr>
        <w:rFonts w:ascii="Symbol" w:hAnsi="Symbol" w:hint="default"/>
      </w:rPr>
    </w:lvl>
    <w:lvl w:ilvl="7" w:tplc="69B475C8">
      <w:start w:val="1"/>
      <w:numFmt w:val="bullet"/>
      <w:lvlText w:val="o"/>
      <w:lvlJc w:val="left"/>
      <w:pPr>
        <w:ind w:left="5760" w:hanging="360"/>
      </w:pPr>
      <w:rPr>
        <w:rFonts w:ascii="Courier New" w:hAnsi="Courier New" w:hint="default"/>
      </w:rPr>
    </w:lvl>
    <w:lvl w:ilvl="8" w:tplc="E6D4CEC4">
      <w:start w:val="1"/>
      <w:numFmt w:val="bullet"/>
      <w:lvlText w:val=""/>
      <w:lvlJc w:val="left"/>
      <w:pPr>
        <w:ind w:left="6480" w:hanging="360"/>
      </w:pPr>
      <w:rPr>
        <w:rFonts w:ascii="Wingdings" w:hAnsi="Wingdings" w:hint="default"/>
      </w:rPr>
    </w:lvl>
  </w:abstractNum>
  <w:abstractNum w:abstractNumId="2" w15:restartNumberingAfterBreak="0">
    <w:nsid w:val="1045E4CB"/>
    <w:multiLevelType w:val="hybridMultilevel"/>
    <w:tmpl w:val="1B305C6A"/>
    <w:lvl w:ilvl="0" w:tplc="BF04874E">
      <w:start w:val="1"/>
      <w:numFmt w:val="bullet"/>
      <w:lvlText w:val=""/>
      <w:lvlJc w:val="left"/>
      <w:pPr>
        <w:ind w:left="720" w:hanging="360"/>
      </w:pPr>
      <w:rPr>
        <w:rFonts w:ascii="Symbol" w:hAnsi="Symbol" w:hint="default"/>
      </w:rPr>
    </w:lvl>
    <w:lvl w:ilvl="1" w:tplc="3A10CB34">
      <w:start w:val="1"/>
      <w:numFmt w:val="bullet"/>
      <w:lvlText w:val="o"/>
      <w:lvlJc w:val="left"/>
      <w:pPr>
        <w:ind w:left="1440" w:hanging="360"/>
      </w:pPr>
      <w:rPr>
        <w:rFonts w:ascii="Courier New" w:hAnsi="Courier New" w:hint="default"/>
      </w:rPr>
    </w:lvl>
    <w:lvl w:ilvl="2" w:tplc="4470E2E2">
      <w:start w:val="1"/>
      <w:numFmt w:val="bullet"/>
      <w:lvlText w:val=""/>
      <w:lvlJc w:val="left"/>
      <w:pPr>
        <w:ind w:left="2160" w:hanging="360"/>
      </w:pPr>
      <w:rPr>
        <w:rFonts w:ascii="Wingdings" w:hAnsi="Wingdings" w:hint="default"/>
      </w:rPr>
    </w:lvl>
    <w:lvl w:ilvl="3" w:tplc="8326C9AE">
      <w:start w:val="1"/>
      <w:numFmt w:val="bullet"/>
      <w:lvlText w:val=""/>
      <w:lvlJc w:val="left"/>
      <w:pPr>
        <w:ind w:left="2880" w:hanging="360"/>
      </w:pPr>
      <w:rPr>
        <w:rFonts w:ascii="Symbol" w:hAnsi="Symbol" w:hint="default"/>
      </w:rPr>
    </w:lvl>
    <w:lvl w:ilvl="4" w:tplc="B2C0E73A">
      <w:start w:val="1"/>
      <w:numFmt w:val="bullet"/>
      <w:lvlText w:val="o"/>
      <w:lvlJc w:val="left"/>
      <w:pPr>
        <w:ind w:left="3600" w:hanging="360"/>
      </w:pPr>
      <w:rPr>
        <w:rFonts w:ascii="Courier New" w:hAnsi="Courier New" w:hint="default"/>
      </w:rPr>
    </w:lvl>
    <w:lvl w:ilvl="5" w:tplc="3B604A84">
      <w:start w:val="1"/>
      <w:numFmt w:val="bullet"/>
      <w:lvlText w:val=""/>
      <w:lvlJc w:val="left"/>
      <w:pPr>
        <w:ind w:left="4320" w:hanging="360"/>
      </w:pPr>
      <w:rPr>
        <w:rFonts w:ascii="Wingdings" w:hAnsi="Wingdings" w:hint="default"/>
      </w:rPr>
    </w:lvl>
    <w:lvl w:ilvl="6" w:tplc="3F087FBA">
      <w:start w:val="1"/>
      <w:numFmt w:val="bullet"/>
      <w:lvlText w:val=""/>
      <w:lvlJc w:val="left"/>
      <w:pPr>
        <w:ind w:left="5040" w:hanging="360"/>
      </w:pPr>
      <w:rPr>
        <w:rFonts w:ascii="Symbol" w:hAnsi="Symbol" w:hint="default"/>
      </w:rPr>
    </w:lvl>
    <w:lvl w:ilvl="7" w:tplc="6A7C7F42">
      <w:start w:val="1"/>
      <w:numFmt w:val="bullet"/>
      <w:lvlText w:val="o"/>
      <w:lvlJc w:val="left"/>
      <w:pPr>
        <w:ind w:left="5760" w:hanging="360"/>
      </w:pPr>
      <w:rPr>
        <w:rFonts w:ascii="Courier New" w:hAnsi="Courier New" w:hint="default"/>
      </w:rPr>
    </w:lvl>
    <w:lvl w:ilvl="8" w:tplc="A9944688">
      <w:start w:val="1"/>
      <w:numFmt w:val="bullet"/>
      <w:lvlText w:val=""/>
      <w:lvlJc w:val="left"/>
      <w:pPr>
        <w:ind w:left="6480" w:hanging="360"/>
      </w:pPr>
      <w:rPr>
        <w:rFonts w:ascii="Wingdings" w:hAnsi="Wingdings" w:hint="default"/>
      </w:rPr>
    </w:lvl>
  </w:abstractNum>
  <w:abstractNum w:abstractNumId="3" w15:restartNumberingAfterBreak="0">
    <w:nsid w:val="23ED088C"/>
    <w:multiLevelType w:val="hybridMultilevel"/>
    <w:tmpl w:val="FF8C54E8"/>
    <w:lvl w:ilvl="0" w:tplc="B7DC1D6E">
      <w:start w:val="1"/>
      <w:numFmt w:val="bullet"/>
      <w:lvlText w:val=""/>
      <w:lvlJc w:val="left"/>
      <w:pPr>
        <w:ind w:left="720" w:hanging="360"/>
      </w:pPr>
      <w:rPr>
        <w:rFonts w:ascii="Symbol" w:hAnsi="Symbol" w:hint="default"/>
      </w:rPr>
    </w:lvl>
    <w:lvl w:ilvl="1" w:tplc="8F30BB98">
      <w:start w:val="1"/>
      <w:numFmt w:val="bullet"/>
      <w:lvlText w:val="o"/>
      <w:lvlJc w:val="left"/>
      <w:pPr>
        <w:ind w:left="1440" w:hanging="360"/>
      </w:pPr>
      <w:rPr>
        <w:rFonts w:ascii="Courier New" w:hAnsi="Courier New" w:hint="default"/>
      </w:rPr>
    </w:lvl>
    <w:lvl w:ilvl="2" w:tplc="32485A24">
      <w:start w:val="1"/>
      <w:numFmt w:val="bullet"/>
      <w:lvlText w:val=""/>
      <w:lvlJc w:val="left"/>
      <w:pPr>
        <w:ind w:left="2160" w:hanging="360"/>
      </w:pPr>
      <w:rPr>
        <w:rFonts w:ascii="Wingdings" w:hAnsi="Wingdings" w:hint="default"/>
      </w:rPr>
    </w:lvl>
    <w:lvl w:ilvl="3" w:tplc="99B64262">
      <w:start w:val="1"/>
      <w:numFmt w:val="bullet"/>
      <w:lvlText w:val=""/>
      <w:lvlJc w:val="left"/>
      <w:pPr>
        <w:ind w:left="2880" w:hanging="360"/>
      </w:pPr>
      <w:rPr>
        <w:rFonts w:ascii="Symbol" w:hAnsi="Symbol" w:hint="default"/>
      </w:rPr>
    </w:lvl>
    <w:lvl w:ilvl="4" w:tplc="3870A794">
      <w:start w:val="1"/>
      <w:numFmt w:val="bullet"/>
      <w:lvlText w:val="o"/>
      <w:lvlJc w:val="left"/>
      <w:pPr>
        <w:ind w:left="3600" w:hanging="360"/>
      </w:pPr>
      <w:rPr>
        <w:rFonts w:ascii="Courier New" w:hAnsi="Courier New" w:hint="default"/>
      </w:rPr>
    </w:lvl>
    <w:lvl w:ilvl="5" w:tplc="6A34C93A">
      <w:start w:val="1"/>
      <w:numFmt w:val="bullet"/>
      <w:lvlText w:val=""/>
      <w:lvlJc w:val="left"/>
      <w:pPr>
        <w:ind w:left="4320" w:hanging="360"/>
      </w:pPr>
      <w:rPr>
        <w:rFonts w:ascii="Wingdings" w:hAnsi="Wingdings" w:hint="default"/>
      </w:rPr>
    </w:lvl>
    <w:lvl w:ilvl="6" w:tplc="593A8F88">
      <w:start w:val="1"/>
      <w:numFmt w:val="bullet"/>
      <w:lvlText w:val=""/>
      <w:lvlJc w:val="left"/>
      <w:pPr>
        <w:ind w:left="5040" w:hanging="360"/>
      </w:pPr>
      <w:rPr>
        <w:rFonts w:ascii="Symbol" w:hAnsi="Symbol" w:hint="default"/>
      </w:rPr>
    </w:lvl>
    <w:lvl w:ilvl="7" w:tplc="EFB0CFF6">
      <w:start w:val="1"/>
      <w:numFmt w:val="bullet"/>
      <w:lvlText w:val="o"/>
      <w:lvlJc w:val="left"/>
      <w:pPr>
        <w:ind w:left="5760" w:hanging="360"/>
      </w:pPr>
      <w:rPr>
        <w:rFonts w:ascii="Courier New" w:hAnsi="Courier New" w:hint="default"/>
      </w:rPr>
    </w:lvl>
    <w:lvl w:ilvl="8" w:tplc="B456CA68">
      <w:start w:val="1"/>
      <w:numFmt w:val="bullet"/>
      <w:lvlText w:val=""/>
      <w:lvlJc w:val="left"/>
      <w:pPr>
        <w:ind w:left="6480" w:hanging="360"/>
      </w:pPr>
      <w:rPr>
        <w:rFonts w:ascii="Wingdings" w:hAnsi="Wingdings" w:hint="default"/>
      </w:rPr>
    </w:lvl>
  </w:abstractNum>
  <w:abstractNum w:abstractNumId="4" w15:restartNumberingAfterBreak="0">
    <w:nsid w:val="24CCEF79"/>
    <w:multiLevelType w:val="hybridMultilevel"/>
    <w:tmpl w:val="6DFA7030"/>
    <w:lvl w:ilvl="0" w:tplc="77C2AED0">
      <w:start w:val="1"/>
      <w:numFmt w:val="bullet"/>
      <w:lvlText w:val=""/>
      <w:lvlJc w:val="left"/>
      <w:pPr>
        <w:ind w:left="720" w:hanging="360"/>
      </w:pPr>
      <w:rPr>
        <w:rFonts w:ascii="Symbol" w:hAnsi="Symbol" w:hint="default"/>
      </w:rPr>
    </w:lvl>
    <w:lvl w:ilvl="1" w:tplc="16C60DB4">
      <w:start w:val="1"/>
      <w:numFmt w:val="bullet"/>
      <w:lvlText w:val="o"/>
      <w:lvlJc w:val="left"/>
      <w:pPr>
        <w:ind w:left="1440" w:hanging="360"/>
      </w:pPr>
      <w:rPr>
        <w:rFonts w:ascii="Courier New" w:hAnsi="Courier New" w:hint="default"/>
      </w:rPr>
    </w:lvl>
    <w:lvl w:ilvl="2" w:tplc="234EB9E8">
      <w:start w:val="1"/>
      <w:numFmt w:val="bullet"/>
      <w:lvlText w:val=""/>
      <w:lvlJc w:val="left"/>
      <w:pPr>
        <w:ind w:left="2160" w:hanging="360"/>
      </w:pPr>
      <w:rPr>
        <w:rFonts w:ascii="Wingdings" w:hAnsi="Wingdings" w:hint="default"/>
      </w:rPr>
    </w:lvl>
    <w:lvl w:ilvl="3" w:tplc="A6A48350">
      <w:start w:val="1"/>
      <w:numFmt w:val="bullet"/>
      <w:lvlText w:val=""/>
      <w:lvlJc w:val="left"/>
      <w:pPr>
        <w:ind w:left="2880" w:hanging="360"/>
      </w:pPr>
      <w:rPr>
        <w:rFonts w:ascii="Symbol" w:hAnsi="Symbol" w:hint="default"/>
      </w:rPr>
    </w:lvl>
    <w:lvl w:ilvl="4" w:tplc="3D16E3DE">
      <w:start w:val="1"/>
      <w:numFmt w:val="bullet"/>
      <w:lvlText w:val="o"/>
      <w:lvlJc w:val="left"/>
      <w:pPr>
        <w:ind w:left="3600" w:hanging="360"/>
      </w:pPr>
      <w:rPr>
        <w:rFonts w:ascii="Courier New" w:hAnsi="Courier New" w:hint="default"/>
      </w:rPr>
    </w:lvl>
    <w:lvl w:ilvl="5" w:tplc="56FA39C4">
      <w:start w:val="1"/>
      <w:numFmt w:val="bullet"/>
      <w:lvlText w:val=""/>
      <w:lvlJc w:val="left"/>
      <w:pPr>
        <w:ind w:left="4320" w:hanging="360"/>
      </w:pPr>
      <w:rPr>
        <w:rFonts w:ascii="Wingdings" w:hAnsi="Wingdings" w:hint="default"/>
      </w:rPr>
    </w:lvl>
    <w:lvl w:ilvl="6" w:tplc="5CFC8802">
      <w:start w:val="1"/>
      <w:numFmt w:val="bullet"/>
      <w:lvlText w:val=""/>
      <w:lvlJc w:val="left"/>
      <w:pPr>
        <w:ind w:left="5040" w:hanging="360"/>
      </w:pPr>
      <w:rPr>
        <w:rFonts w:ascii="Symbol" w:hAnsi="Symbol" w:hint="default"/>
      </w:rPr>
    </w:lvl>
    <w:lvl w:ilvl="7" w:tplc="19A2AF4C">
      <w:start w:val="1"/>
      <w:numFmt w:val="bullet"/>
      <w:lvlText w:val="o"/>
      <w:lvlJc w:val="left"/>
      <w:pPr>
        <w:ind w:left="5760" w:hanging="360"/>
      </w:pPr>
      <w:rPr>
        <w:rFonts w:ascii="Courier New" w:hAnsi="Courier New" w:hint="default"/>
      </w:rPr>
    </w:lvl>
    <w:lvl w:ilvl="8" w:tplc="70F848E2">
      <w:start w:val="1"/>
      <w:numFmt w:val="bullet"/>
      <w:lvlText w:val=""/>
      <w:lvlJc w:val="left"/>
      <w:pPr>
        <w:ind w:left="6480" w:hanging="360"/>
      </w:pPr>
      <w:rPr>
        <w:rFonts w:ascii="Wingdings" w:hAnsi="Wingdings" w:hint="default"/>
      </w:rPr>
    </w:lvl>
  </w:abstractNum>
  <w:abstractNum w:abstractNumId="5" w15:restartNumberingAfterBreak="0">
    <w:nsid w:val="2922384F"/>
    <w:multiLevelType w:val="hybridMultilevel"/>
    <w:tmpl w:val="EAC66358"/>
    <w:lvl w:ilvl="0" w:tplc="9C88B5E6">
      <w:start w:val="1"/>
      <w:numFmt w:val="bullet"/>
      <w:lvlText w:val=""/>
      <w:lvlJc w:val="left"/>
      <w:pPr>
        <w:ind w:left="720" w:hanging="360"/>
      </w:pPr>
      <w:rPr>
        <w:rFonts w:ascii="Symbol" w:hAnsi="Symbol" w:hint="default"/>
      </w:rPr>
    </w:lvl>
    <w:lvl w:ilvl="1" w:tplc="AA76E9A2">
      <w:start w:val="1"/>
      <w:numFmt w:val="bullet"/>
      <w:lvlText w:val="o"/>
      <w:lvlJc w:val="left"/>
      <w:pPr>
        <w:ind w:left="1440" w:hanging="360"/>
      </w:pPr>
      <w:rPr>
        <w:rFonts w:ascii="Courier New" w:hAnsi="Courier New" w:hint="default"/>
      </w:rPr>
    </w:lvl>
    <w:lvl w:ilvl="2" w:tplc="8AFA052E">
      <w:start w:val="1"/>
      <w:numFmt w:val="bullet"/>
      <w:lvlText w:val=""/>
      <w:lvlJc w:val="left"/>
      <w:pPr>
        <w:ind w:left="2160" w:hanging="360"/>
      </w:pPr>
      <w:rPr>
        <w:rFonts w:ascii="Wingdings" w:hAnsi="Wingdings" w:hint="default"/>
      </w:rPr>
    </w:lvl>
    <w:lvl w:ilvl="3" w:tplc="05B44CAA">
      <w:start w:val="1"/>
      <w:numFmt w:val="bullet"/>
      <w:lvlText w:val=""/>
      <w:lvlJc w:val="left"/>
      <w:pPr>
        <w:ind w:left="2880" w:hanging="360"/>
      </w:pPr>
      <w:rPr>
        <w:rFonts w:ascii="Symbol" w:hAnsi="Symbol" w:hint="default"/>
      </w:rPr>
    </w:lvl>
    <w:lvl w:ilvl="4" w:tplc="78084E14">
      <w:start w:val="1"/>
      <w:numFmt w:val="bullet"/>
      <w:lvlText w:val="o"/>
      <w:lvlJc w:val="left"/>
      <w:pPr>
        <w:ind w:left="3600" w:hanging="360"/>
      </w:pPr>
      <w:rPr>
        <w:rFonts w:ascii="Courier New" w:hAnsi="Courier New" w:hint="default"/>
      </w:rPr>
    </w:lvl>
    <w:lvl w:ilvl="5" w:tplc="D214EEDA">
      <w:start w:val="1"/>
      <w:numFmt w:val="bullet"/>
      <w:lvlText w:val=""/>
      <w:lvlJc w:val="left"/>
      <w:pPr>
        <w:ind w:left="4320" w:hanging="360"/>
      </w:pPr>
      <w:rPr>
        <w:rFonts w:ascii="Wingdings" w:hAnsi="Wingdings" w:hint="default"/>
      </w:rPr>
    </w:lvl>
    <w:lvl w:ilvl="6" w:tplc="D3ACEF48">
      <w:start w:val="1"/>
      <w:numFmt w:val="bullet"/>
      <w:lvlText w:val=""/>
      <w:lvlJc w:val="left"/>
      <w:pPr>
        <w:ind w:left="5040" w:hanging="360"/>
      </w:pPr>
      <w:rPr>
        <w:rFonts w:ascii="Symbol" w:hAnsi="Symbol" w:hint="default"/>
      </w:rPr>
    </w:lvl>
    <w:lvl w:ilvl="7" w:tplc="3820A0B2">
      <w:start w:val="1"/>
      <w:numFmt w:val="bullet"/>
      <w:lvlText w:val="o"/>
      <w:lvlJc w:val="left"/>
      <w:pPr>
        <w:ind w:left="5760" w:hanging="360"/>
      </w:pPr>
      <w:rPr>
        <w:rFonts w:ascii="Courier New" w:hAnsi="Courier New" w:hint="default"/>
      </w:rPr>
    </w:lvl>
    <w:lvl w:ilvl="8" w:tplc="548834FA">
      <w:start w:val="1"/>
      <w:numFmt w:val="bullet"/>
      <w:lvlText w:val=""/>
      <w:lvlJc w:val="left"/>
      <w:pPr>
        <w:ind w:left="6480" w:hanging="360"/>
      </w:pPr>
      <w:rPr>
        <w:rFonts w:ascii="Wingdings" w:hAnsi="Wingdings" w:hint="default"/>
      </w:rPr>
    </w:lvl>
  </w:abstractNum>
  <w:abstractNum w:abstractNumId="6" w15:restartNumberingAfterBreak="0">
    <w:nsid w:val="2CDB7949"/>
    <w:multiLevelType w:val="hybridMultilevel"/>
    <w:tmpl w:val="BE66E0B4"/>
    <w:lvl w:ilvl="0" w:tplc="130E87E6">
      <w:start w:val="1"/>
      <w:numFmt w:val="bullet"/>
      <w:lvlText w:val=""/>
      <w:lvlJc w:val="left"/>
      <w:pPr>
        <w:ind w:left="720" w:hanging="360"/>
      </w:pPr>
      <w:rPr>
        <w:rFonts w:ascii="Symbol" w:hAnsi="Symbol" w:hint="default"/>
      </w:rPr>
    </w:lvl>
    <w:lvl w:ilvl="1" w:tplc="F3407CA8">
      <w:start w:val="1"/>
      <w:numFmt w:val="bullet"/>
      <w:lvlText w:val="o"/>
      <w:lvlJc w:val="left"/>
      <w:pPr>
        <w:ind w:left="1440" w:hanging="360"/>
      </w:pPr>
      <w:rPr>
        <w:rFonts w:ascii="Courier New" w:hAnsi="Courier New" w:hint="default"/>
      </w:rPr>
    </w:lvl>
    <w:lvl w:ilvl="2" w:tplc="C9647646">
      <w:start w:val="1"/>
      <w:numFmt w:val="bullet"/>
      <w:lvlText w:val=""/>
      <w:lvlJc w:val="left"/>
      <w:pPr>
        <w:ind w:left="2160" w:hanging="360"/>
      </w:pPr>
      <w:rPr>
        <w:rFonts w:ascii="Wingdings" w:hAnsi="Wingdings" w:hint="default"/>
      </w:rPr>
    </w:lvl>
    <w:lvl w:ilvl="3" w:tplc="F35A76EA">
      <w:start w:val="1"/>
      <w:numFmt w:val="bullet"/>
      <w:lvlText w:val=""/>
      <w:lvlJc w:val="left"/>
      <w:pPr>
        <w:ind w:left="2880" w:hanging="360"/>
      </w:pPr>
      <w:rPr>
        <w:rFonts w:ascii="Symbol" w:hAnsi="Symbol" w:hint="default"/>
      </w:rPr>
    </w:lvl>
    <w:lvl w:ilvl="4" w:tplc="6726ADFC">
      <w:start w:val="1"/>
      <w:numFmt w:val="bullet"/>
      <w:lvlText w:val="o"/>
      <w:lvlJc w:val="left"/>
      <w:pPr>
        <w:ind w:left="3600" w:hanging="360"/>
      </w:pPr>
      <w:rPr>
        <w:rFonts w:ascii="Courier New" w:hAnsi="Courier New" w:hint="default"/>
      </w:rPr>
    </w:lvl>
    <w:lvl w:ilvl="5" w:tplc="0A50EEA6">
      <w:start w:val="1"/>
      <w:numFmt w:val="bullet"/>
      <w:lvlText w:val=""/>
      <w:lvlJc w:val="left"/>
      <w:pPr>
        <w:ind w:left="4320" w:hanging="360"/>
      </w:pPr>
      <w:rPr>
        <w:rFonts w:ascii="Wingdings" w:hAnsi="Wingdings" w:hint="default"/>
      </w:rPr>
    </w:lvl>
    <w:lvl w:ilvl="6" w:tplc="DEB66A4C">
      <w:start w:val="1"/>
      <w:numFmt w:val="bullet"/>
      <w:lvlText w:val=""/>
      <w:lvlJc w:val="left"/>
      <w:pPr>
        <w:ind w:left="5040" w:hanging="360"/>
      </w:pPr>
      <w:rPr>
        <w:rFonts w:ascii="Symbol" w:hAnsi="Symbol" w:hint="default"/>
      </w:rPr>
    </w:lvl>
    <w:lvl w:ilvl="7" w:tplc="727A18A4">
      <w:start w:val="1"/>
      <w:numFmt w:val="bullet"/>
      <w:lvlText w:val="o"/>
      <w:lvlJc w:val="left"/>
      <w:pPr>
        <w:ind w:left="5760" w:hanging="360"/>
      </w:pPr>
      <w:rPr>
        <w:rFonts w:ascii="Courier New" w:hAnsi="Courier New" w:hint="default"/>
      </w:rPr>
    </w:lvl>
    <w:lvl w:ilvl="8" w:tplc="8B34B430">
      <w:start w:val="1"/>
      <w:numFmt w:val="bullet"/>
      <w:lvlText w:val=""/>
      <w:lvlJc w:val="left"/>
      <w:pPr>
        <w:ind w:left="6480" w:hanging="360"/>
      </w:pPr>
      <w:rPr>
        <w:rFonts w:ascii="Wingdings" w:hAnsi="Wingdings" w:hint="default"/>
      </w:rPr>
    </w:lvl>
  </w:abstractNum>
  <w:abstractNum w:abstractNumId="7" w15:restartNumberingAfterBreak="0">
    <w:nsid w:val="2D9C1E2E"/>
    <w:multiLevelType w:val="hybridMultilevel"/>
    <w:tmpl w:val="61520E0C"/>
    <w:lvl w:ilvl="0" w:tplc="3454FB26">
      <w:start w:val="1"/>
      <w:numFmt w:val="bullet"/>
      <w:lvlText w:val=""/>
      <w:lvlJc w:val="left"/>
      <w:pPr>
        <w:ind w:left="720" w:hanging="360"/>
      </w:pPr>
      <w:rPr>
        <w:rFonts w:ascii="Symbol" w:hAnsi="Symbol" w:hint="default"/>
      </w:rPr>
    </w:lvl>
    <w:lvl w:ilvl="1" w:tplc="684A6E1A">
      <w:start w:val="1"/>
      <w:numFmt w:val="bullet"/>
      <w:lvlText w:val="o"/>
      <w:lvlJc w:val="left"/>
      <w:pPr>
        <w:ind w:left="1440" w:hanging="360"/>
      </w:pPr>
      <w:rPr>
        <w:rFonts w:ascii="Courier New" w:hAnsi="Courier New" w:hint="default"/>
      </w:rPr>
    </w:lvl>
    <w:lvl w:ilvl="2" w:tplc="7E1C6734">
      <w:start w:val="1"/>
      <w:numFmt w:val="bullet"/>
      <w:lvlText w:val=""/>
      <w:lvlJc w:val="left"/>
      <w:pPr>
        <w:ind w:left="2160" w:hanging="360"/>
      </w:pPr>
      <w:rPr>
        <w:rFonts w:ascii="Wingdings" w:hAnsi="Wingdings" w:hint="default"/>
      </w:rPr>
    </w:lvl>
    <w:lvl w:ilvl="3" w:tplc="945C19F8">
      <w:start w:val="1"/>
      <w:numFmt w:val="bullet"/>
      <w:lvlText w:val=""/>
      <w:lvlJc w:val="left"/>
      <w:pPr>
        <w:ind w:left="2880" w:hanging="360"/>
      </w:pPr>
      <w:rPr>
        <w:rFonts w:ascii="Symbol" w:hAnsi="Symbol" w:hint="default"/>
      </w:rPr>
    </w:lvl>
    <w:lvl w:ilvl="4" w:tplc="B4828C44">
      <w:start w:val="1"/>
      <w:numFmt w:val="bullet"/>
      <w:lvlText w:val="o"/>
      <w:lvlJc w:val="left"/>
      <w:pPr>
        <w:ind w:left="3600" w:hanging="360"/>
      </w:pPr>
      <w:rPr>
        <w:rFonts w:ascii="Courier New" w:hAnsi="Courier New" w:hint="default"/>
      </w:rPr>
    </w:lvl>
    <w:lvl w:ilvl="5" w:tplc="708AF686">
      <w:start w:val="1"/>
      <w:numFmt w:val="bullet"/>
      <w:lvlText w:val=""/>
      <w:lvlJc w:val="left"/>
      <w:pPr>
        <w:ind w:left="4320" w:hanging="360"/>
      </w:pPr>
      <w:rPr>
        <w:rFonts w:ascii="Wingdings" w:hAnsi="Wingdings" w:hint="default"/>
      </w:rPr>
    </w:lvl>
    <w:lvl w:ilvl="6" w:tplc="0C86D67E">
      <w:start w:val="1"/>
      <w:numFmt w:val="bullet"/>
      <w:lvlText w:val=""/>
      <w:lvlJc w:val="left"/>
      <w:pPr>
        <w:ind w:left="5040" w:hanging="360"/>
      </w:pPr>
      <w:rPr>
        <w:rFonts w:ascii="Symbol" w:hAnsi="Symbol" w:hint="default"/>
      </w:rPr>
    </w:lvl>
    <w:lvl w:ilvl="7" w:tplc="3FF648C8">
      <w:start w:val="1"/>
      <w:numFmt w:val="bullet"/>
      <w:lvlText w:val="o"/>
      <w:lvlJc w:val="left"/>
      <w:pPr>
        <w:ind w:left="5760" w:hanging="360"/>
      </w:pPr>
      <w:rPr>
        <w:rFonts w:ascii="Courier New" w:hAnsi="Courier New" w:hint="default"/>
      </w:rPr>
    </w:lvl>
    <w:lvl w:ilvl="8" w:tplc="8480CB74">
      <w:start w:val="1"/>
      <w:numFmt w:val="bullet"/>
      <w:lvlText w:val=""/>
      <w:lvlJc w:val="left"/>
      <w:pPr>
        <w:ind w:left="6480" w:hanging="360"/>
      </w:pPr>
      <w:rPr>
        <w:rFonts w:ascii="Wingdings" w:hAnsi="Wingdings" w:hint="default"/>
      </w:rPr>
    </w:lvl>
  </w:abstractNum>
  <w:abstractNum w:abstractNumId="8" w15:restartNumberingAfterBreak="0">
    <w:nsid w:val="43CE58DA"/>
    <w:multiLevelType w:val="hybridMultilevel"/>
    <w:tmpl w:val="857096F2"/>
    <w:lvl w:ilvl="0" w:tplc="3CC4A0AA">
      <w:start w:val="1"/>
      <w:numFmt w:val="bullet"/>
      <w:lvlText w:val=""/>
      <w:lvlJc w:val="left"/>
      <w:pPr>
        <w:ind w:left="720" w:hanging="360"/>
      </w:pPr>
      <w:rPr>
        <w:rFonts w:ascii="Symbol" w:hAnsi="Symbol" w:hint="default"/>
      </w:rPr>
    </w:lvl>
    <w:lvl w:ilvl="1" w:tplc="03EE1D7E">
      <w:start w:val="1"/>
      <w:numFmt w:val="bullet"/>
      <w:lvlText w:val="o"/>
      <w:lvlJc w:val="left"/>
      <w:pPr>
        <w:ind w:left="1440" w:hanging="360"/>
      </w:pPr>
      <w:rPr>
        <w:rFonts w:ascii="Courier New" w:hAnsi="Courier New" w:hint="default"/>
      </w:rPr>
    </w:lvl>
    <w:lvl w:ilvl="2" w:tplc="EDA46D0C">
      <w:start w:val="1"/>
      <w:numFmt w:val="bullet"/>
      <w:lvlText w:val=""/>
      <w:lvlJc w:val="left"/>
      <w:pPr>
        <w:ind w:left="2160" w:hanging="360"/>
      </w:pPr>
      <w:rPr>
        <w:rFonts w:ascii="Wingdings" w:hAnsi="Wingdings" w:hint="default"/>
      </w:rPr>
    </w:lvl>
    <w:lvl w:ilvl="3" w:tplc="D1EE3020">
      <w:start w:val="1"/>
      <w:numFmt w:val="bullet"/>
      <w:lvlText w:val=""/>
      <w:lvlJc w:val="left"/>
      <w:pPr>
        <w:ind w:left="2880" w:hanging="360"/>
      </w:pPr>
      <w:rPr>
        <w:rFonts w:ascii="Symbol" w:hAnsi="Symbol" w:hint="default"/>
      </w:rPr>
    </w:lvl>
    <w:lvl w:ilvl="4" w:tplc="85628E0E">
      <w:start w:val="1"/>
      <w:numFmt w:val="bullet"/>
      <w:lvlText w:val="o"/>
      <w:lvlJc w:val="left"/>
      <w:pPr>
        <w:ind w:left="3600" w:hanging="360"/>
      </w:pPr>
      <w:rPr>
        <w:rFonts w:ascii="Courier New" w:hAnsi="Courier New" w:hint="default"/>
      </w:rPr>
    </w:lvl>
    <w:lvl w:ilvl="5" w:tplc="486CD284">
      <w:start w:val="1"/>
      <w:numFmt w:val="bullet"/>
      <w:lvlText w:val=""/>
      <w:lvlJc w:val="left"/>
      <w:pPr>
        <w:ind w:left="4320" w:hanging="360"/>
      </w:pPr>
      <w:rPr>
        <w:rFonts w:ascii="Wingdings" w:hAnsi="Wingdings" w:hint="default"/>
      </w:rPr>
    </w:lvl>
    <w:lvl w:ilvl="6" w:tplc="B85E72B6">
      <w:start w:val="1"/>
      <w:numFmt w:val="bullet"/>
      <w:lvlText w:val=""/>
      <w:lvlJc w:val="left"/>
      <w:pPr>
        <w:ind w:left="5040" w:hanging="360"/>
      </w:pPr>
      <w:rPr>
        <w:rFonts w:ascii="Symbol" w:hAnsi="Symbol" w:hint="default"/>
      </w:rPr>
    </w:lvl>
    <w:lvl w:ilvl="7" w:tplc="1B16813C">
      <w:start w:val="1"/>
      <w:numFmt w:val="bullet"/>
      <w:lvlText w:val="o"/>
      <w:lvlJc w:val="left"/>
      <w:pPr>
        <w:ind w:left="5760" w:hanging="360"/>
      </w:pPr>
      <w:rPr>
        <w:rFonts w:ascii="Courier New" w:hAnsi="Courier New" w:hint="default"/>
      </w:rPr>
    </w:lvl>
    <w:lvl w:ilvl="8" w:tplc="6E74DECC">
      <w:start w:val="1"/>
      <w:numFmt w:val="bullet"/>
      <w:lvlText w:val=""/>
      <w:lvlJc w:val="left"/>
      <w:pPr>
        <w:ind w:left="6480" w:hanging="360"/>
      </w:pPr>
      <w:rPr>
        <w:rFonts w:ascii="Wingdings" w:hAnsi="Wingdings" w:hint="default"/>
      </w:rPr>
    </w:lvl>
  </w:abstractNum>
  <w:abstractNum w:abstractNumId="9" w15:restartNumberingAfterBreak="0">
    <w:nsid w:val="4ABDC5C6"/>
    <w:multiLevelType w:val="hybridMultilevel"/>
    <w:tmpl w:val="1304F9DC"/>
    <w:lvl w:ilvl="0" w:tplc="F1FC043A">
      <w:start w:val="1"/>
      <w:numFmt w:val="bullet"/>
      <w:lvlText w:val=""/>
      <w:lvlJc w:val="left"/>
      <w:pPr>
        <w:ind w:left="720" w:hanging="360"/>
      </w:pPr>
      <w:rPr>
        <w:rFonts w:ascii="Symbol" w:hAnsi="Symbol" w:hint="default"/>
      </w:rPr>
    </w:lvl>
    <w:lvl w:ilvl="1" w:tplc="5D562898">
      <w:start w:val="1"/>
      <w:numFmt w:val="bullet"/>
      <w:lvlText w:val="o"/>
      <w:lvlJc w:val="left"/>
      <w:pPr>
        <w:ind w:left="1440" w:hanging="360"/>
      </w:pPr>
      <w:rPr>
        <w:rFonts w:ascii="Courier New" w:hAnsi="Courier New" w:hint="default"/>
      </w:rPr>
    </w:lvl>
    <w:lvl w:ilvl="2" w:tplc="A672E10E">
      <w:start w:val="1"/>
      <w:numFmt w:val="bullet"/>
      <w:lvlText w:val=""/>
      <w:lvlJc w:val="left"/>
      <w:pPr>
        <w:ind w:left="2160" w:hanging="360"/>
      </w:pPr>
      <w:rPr>
        <w:rFonts w:ascii="Wingdings" w:hAnsi="Wingdings" w:hint="default"/>
      </w:rPr>
    </w:lvl>
    <w:lvl w:ilvl="3" w:tplc="8B68892A">
      <w:start w:val="1"/>
      <w:numFmt w:val="bullet"/>
      <w:lvlText w:val=""/>
      <w:lvlJc w:val="left"/>
      <w:pPr>
        <w:ind w:left="2880" w:hanging="360"/>
      </w:pPr>
      <w:rPr>
        <w:rFonts w:ascii="Symbol" w:hAnsi="Symbol" w:hint="default"/>
      </w:rPr>
    </w:lvl>
    <w:lvl w:ilvl="4" w:tplc="7E54F022">
      <w:start w:val="1"/>
      <w:numFmt w:val="bullet"/>
      <w:lvlText w:val="o"/>
      <w:lvlJc w:val="left"/>
      <w:pPr>
        <w:ind w:left="3600" w:hanging="360"/>
      </w:pPr>
      <w:rPr>
        <w:rFonts w:ascii="Courier New" w:hAnsi="Courier New" w:hint="default"/>
      </w:rPr>
    </w:lvl>
    <w:lvl w:ilvl="5" w:tplc="F9783AE0">
      <w:start w:val="1"/>
      <w:numFmt w:val="bullet"/>
      <w:lvlText w:val=""/>
      <w:lvlJc w:val="left"/>
      <w:pPr>
        <w:ind w:left="4320" w:hanging="360"/>
      </w:pPr>
      <w:rPr>
        <w:rFonts w:ascii="Wingdings" w:hAnsi="Wingdings" w:hint="default"/>
      </w:rPr>
    </w:lvl>
    <w:lvl w:ilvl="6" w:tplc="09FA1D92">
      <w:start w:val="1"/>
      <w:numFmt w:val="bullet"/>
      <w:lvlText w:val=""/>
      <w:lvlJc w:val="left"/>
      <w:pPr>
        <w:ind w:left="5040" w:hanging="360"/>
      </w:pPr>
      <w:rPr>
        <w:rFonts w:ascii="Symbol" w:hAnsi="Symbol" w:hint="default"/>
      </w:rPr>
    </w:lvl>
    <w:lvl w:ilvl="7" w:tplc="ABCC4DFE">
      <w:start w:val="1"/>
      <w:numFmt w:val="bullet"/>
      <w:lvlText w:val="o"/>
      <w:lvlJc w:val="left"/>
      <w:pPr>
        <w:ind w:left="5760" w:hanging="360"/>
      </w:pPr>
      <w:rPr>
        <w:rFonts w:ascii="Courier New" w:hAnsi="Courier New" w:hint="default"/>
      </w:rPr>
    </w:lvl>
    <w:lvl w:ilvl="8" w:tplc="5B6EF3DE">
      <w:start w:val="1"/>
      <w:numFmt w:val="bullet"/>
      <w:lvlText w:val=""/>
      <w:lvlJc w:val="left"/>
      <w:pPr>
        <w:ind w:left="6480" w:hanging="360"/>
      </w:pPr>
      <w:rPr>
        <w:rFonts w:ascii="Wingdings" w:hAnsi="Wingdings" w:hint="default"/>
      </w:rPr>
    </w:lvl>
  </w:abstractNum>
  <w:abstractNum w:abstractNumId="10" w15:restartNumberingAfterBreak="0">
    <w:nsid w:val="54BA7857"/>
    <w:multiLevelType w:val="hybridMultilevel"/>
    <w:tmpl w:val="D1ECCF44"/>
    <w:lvl w:ilvl="0" w:tplc="079098AC">
      <w:start w:val="1"/>
      <w:numFmt w:val="decimal"/>
      <w:lvlText w:val="%1."/>
      <w:lvlJc w:val="left"/>
      <w:pPr>
        <w:ind w:left="720" w:hanging="360"/>
      </w:pPr>
    </w:lvl>
    <w:lvl w:ilvl="1" w:tplc="91EA4DD6">
      <w:start w:val="1"/>
      <w:numFmt w:val="lowerLetter"/>
      <w:lvlText w:val="%2."/>
      <w:lvlJc w:val="left"/>
      <w:pPr>
        <w:ind w:left="1440" w:hanging="360"/>
      </w:pPr>
    </w:lvl>
    <w:lvl w:ilvl="2" w:tplc="9F26F2A4">
      <w:start w:val="1"/>
      <w:numFmt w:val="lowerRoman"/>
      <w:lvlText w:val="%3."/>
      <w:lvlJc w:val="right"/>
      <w:pPr>
        <w:ind w:left="2160" w:hanging="180"/>
      </w:pPr>
    </w:lvl>
    <w:lvl w:ilvl="3" w:tplc="31144B78">
      <w:start w:val="1"/>
      <w:numFmt w:val="decimal"/>
      <w:lvlText w:val="%4."/>
      <w:lvlJc w:val="left"/>
      <w:pPr>
        <w:ind w:left="2880" w:hanging="360"/>
      </w:pPr>
    </w:lvl>
    <w:lvl w:ilvl="4" w:tplc="B52A8A0A">
      <w:start w:val="1"/>
      <w:numFmt w:val="lowerLetter"/>
      <w:lvlText w:val="%5."/>
      <w:lvlJc w:val="left"/>
      <w:pPr>
        <w:ind w:left="3600" w:hanging="360"/>
      </w:pPr>
    </w:lvl>
    <w:lvl w:ilvl="5" w:tplc="24A2C0F8">
      <w:start w:val="1"/>
      <w:numFmt w:val="lowerRoman"/>
      <w:lvlText w:val="%6."/>
      <w:lvlJc w:val="right"/>
      <w:pPr>
        <w:ind w:left="4320" w:hanging="180"/>
      </w:pPr>
    </w:lvl>
    <w:lvl w:ilvl="6" w:tplc="67FC8D5C">
      <w:start w:val="1"/>
      <w:numFmt w:val="decimal"/>
      <w:lvlText w:val="%7."/>
      <w:lvlJc w:val="left"/>
      <w:pPr>
        <w:ind w:left="5040" w:hanging="360"/>
      </w:pPr>
    </w:lvl>
    <w:lvl w:ilvl="7" w:tplc="6A78E002">
      <w:start w:val="1"/>
      <w:numFmt w:val="lowerLetter"/>
      <w:lvlText w:val="%8."/>
      <w:lvlJc w:val="left"/>
      <w:pPr>
        <w:ind w:left="5760" w:hanging="360"/>
      </w:pPr>
    </w:lvl>
    <w:lvl w:ilvl="8" w:tplc="3F1C8052">
      <w:start w:val="1"/>
      <w:numFmt w:val="lowerRoman"/>
      <w:lvlText w:val="%9."/>
      <w:lvlJc w:val="right"/>
      <w:pPr>
        <w:ind w:left="6480" w:hanging="180"/>
      </w:pPr>
    </w:lvl>
  </w:abstractNum>
  <w:abstractNum w:abstractNumId="11" w15:restartNumberingAfterBreak="0">
    <w:nsid w:val="559324CA"/>
    <w:multiLevelType w:val="hybridMultilevel"/>
    <w:tmpl w:val="E0325D9A"/>
    <w:lvl w:ilvl="0" w:tplc="51DCC3D6">
      <w:start w:val="1"/>
      <w:numFmt w:val="bullet"/>
      <w:lvlText w:val=""/>
      <w:lvlJc w:val="left"/>
      <w:pPr>
        <w:ind w:left="720" w:hanging="360"/>
      </w:pPr>
      <w:rPr>
        <w:rFonts w:ascii="Symbol" w:hAnsi="Symbol" w:hint="default"/>
      </w:rPr>
    </w:lvl>
    <w:lvl w:ilvl="1" w:tplc="8D7E95DA">
      <w:start w:val="1"/>
      <w:numFmt w:val="bullet"/>
      <w:lvlText w:val="o"/>
      <w:lvlJc w:val="left"/>
      <w:pPr>
        <w:ind w:left="1440" w:hanging="360"/>
      </w:pPr>
      <w:rPr>
        <w:rFonts w:ascii="Courier New" w:hAnsi="Courier New" w:hint="default"/>
      </w:rPr>
    </w:lvl>
    <w:lvl w:ilvl="2" w:tplc="65388122">
      <w:start w:val="1"/>
      <w:numFmt w:val="bullet"/>
      <w:lvlText w:val=""/>
      <w:lvlJc w:val="left"/>
      <w:pPr>
        <w:ind w:left="2160" w:hanging="360"/>
      </w:pPr>
      <w:rPr>
        <w:rFonts w:ascii="Wingdings" w:hAnsi="Wingdings" w:hint="default"/>
      </w:rPr>
    </w:lvl>
    <w:lvl w:ilvl="3" w:tplc="8006C620">
      <w:start w:val="1"/>
      <w:numFmt w:val="bullet"/>
      <w:lvlText w:val=""/>
      <w:lvlJc w:val="left"/>
      <w:pPr>
        <w:ind w:left="2880" w:hanging="360"/>
      </w:pPr>
      <w:rPr>
        <w:rFonts w:ascii="Symbol" w:hAnsi="Symbol" w:hint="default"/>
      </w:rPr>
    </w:lvl>
    <w:lvl w:ilvl="4" w:tplc="77AEBDBC">
      <w:start w:val="1"/>
      <w:numFmt w:val="bullet"/>
      <w:lvlText w:val="o"/>
      <w:lvlJc w:val="left"/>
      <w:pPr>
        <w:ind w:left="3600" w:hanging="360"/>
      </w:pPr>
      <w:rPr>
        <w:rFonts w:ascii="Courier New" w:hAnsi="Courier New" w:hint="default"/>
      </w:rPr>
    </w:lvl>
    <w:lvl w:ilvl="5" w:tplc="6F2C5514">
      <w:start w:val="1"/>
      <w:numFmt w:val="bullet"/>
      <w:lvlText w:val=""/>
      <w:lvlJc w:val="left"/>
      <w:pPr>
        <w:ind w:left="4320" w:hanging="360"/>
      </w:pPr>
      <w:rPr>
        <w:rFonts w:ascii="Wingdings" w:hAnsi="Wingdings" w:hint="default"/>
      </w:rPr>
    </w:lvl>
    <w:lvl w:ilvl="6" w:tplc="76CCF846">
      <w:start w:val="1"/>
      <w:numFmt w:val="bullet"/>
      <w:lvlText w:val=""/>
      <w:lvlJc w:val="left"/>
      <w:pPr>
        <w:ind w:left="5040" w:hanging="360"/>
      </w:pPr>
      <w:rPr>
        <w:rFonts w:ascii="Symbol" w:hAnsi="Symbol" w:hint="default"/>
      </w:rPr>
    </w:lvl>
    <w:lvl w:ilvl="7" w:tplc="1C961AB4">
      <w:start w:val="1"/>
      <w:numFmt w:val="bullet"/>
      <w:lvlText w:val="o"/>
      <w:lvlJc w:val="left"/>
      <w:pPr>
        <w:ind w:left="5760" w:hanging="360"/>
      </w:pPr>
      <w:rPr>
        <w:rFonts w:ascii="Courier New" w:hAnsi="Courier New" w:hint="default"/>
      </w:rPr>
    </w:lvl>
    <w:lvl w:ilvl="8" w:tplc="EF508888">
      <w:start w:val="1"/>
      <w:numFmt w:val="bullet"/>
      <w:lvlText w:val=""/>
      <w:lvlJc w:val="left"/>
      <w:pPr>
        <w:ind w:left="6480" w:hanging="360"/>
      </w:pPr>
      <w:rPr>
        <w:rFonts w:ascii="Wingdings" w:hAnsi="Wingdings" w:hint="default"/>
      </w:rPr>
    </w:lvl>
  </w:abstractNum>
  <w:num w:numId="1" w16cid:durableId="1867669473">
    <w:abstractNumId w:val="7"/>
  </w:num>
  <w:num w:numId="2" w16cid:durableId="1232470906">
    <w:abstractNumId w:val="10"/>
  </w:num>
  <w:num w:numId="3" w16cid:durableId="30569654">
    <w:abstractNumId w:val="0"/>
  </w:num>
  <w:num w:numId="4" w16cid:durableId="1329284584">
    <w:abstractNumId w:val="4"/>
  </w:num>
  <w:num w:numId="5" w16cid:durableId="1617250095">
    <w:abstractNumId w:val="3"/>
  </w:num>
  <w:num w:numId="6" w16cid:durableId="899369173">
    <w:abstractNumId w:val="8"/>
  </w:num>
  <w:num w:numId="7" w16cid:durableId="369720719">
    <w:abstractNumId w:val="11"/>
  </w:num>
  <w:num w:numId="8" w16cid:durableId="725032191">
    <w:abstractNumId w:val="5"/>
  </w:num>
  <w:num w:numId="9" w16cid:durableId="684862454">
    <w:abstractNumId w:val="1"/>
  </w:num>
  <w:num w:numId="10" w16cid:durableId="1390575097">
    <w:abstractNumId w:val="6"/>
  </w:num>
  <w:num w:numId="11" w16cid:durableId="991716137">
    <w:abstractNumId w:val="2"/>
  </w:num>
  <w:num w:numId="12" w16cid:durableId="102474662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go, Sergio Martin">
    <w15:presenceInfo w15:providerId="AD" w15:userId="S::sergio.longo@bcra.gob.ar::61f919c9-2ebc-4bfe-b95d-79d1a0f1e7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52C4E9"/>
    <w:rsid w:val="00021CB8"/>
    <w:rsid w:val="001F4F65"/>
    <w:rsid w:val="003C1F79"/>
    <w:rsid w:val="003E6BC1"/>
    <w:rsid w:val="00593B43"/>
    <w:rsid w:val="005C26F4"/>
    <w:rsid w:val="006053CA"/>
    <w:rsid w:val="0073C949"/>
    <w:rsid w:val="007F2489"/>
    <w:rsid w:val="009458B0"/>
    <w:rsid w:val="009A497F"/>
    <w:rsid w:val="009F38B1"/>
    <w:rsid w:val="00B82BDF"/>
    <w:rsid w:val="00C12201"/>
    <w:rsid w:val="00CB3766"/>
    <w:rsid w:val="00D02109"/>
    <w:rsid w:val="00D6128B"/>
    <w:rsid w:val="00D80B1C"/>
    <w:rsid w:val="00DA5AE8"/>
    <w:rsid w:val="00E122D1"/>
    <w:rsid w:val="00E528D4"/>
    <w:rsid w:val="00FD457F"/>
    <w:rsid w:val="015DA616"/>
    <w:rsid w:val="018CC049"/>
    <w:rsid w:val="018D3E40"/>
    <w:rsid w:val="01CCA7F7"/>
    <w:rsid w:val="01ECC28E"/>
    <w:rsid w:val="0228B665"/>
    <w:rsid w:val="0248C438"/>
    <w:rsid w:val="02A356FA"/>
    <w:rsid w:val="02AC64C8"/>
    <w:rsid w:val="02CBBF5E"/>
    <w:rsid w:val="030C431E"/>
    <w:rsid w:val="035E82A5"/>
    <w:rsid w:val="040BA8AB"/>
    <w:rsid w:val="04239829"/>
    <w:rsid w:val="04700158"/>
    <w:rsid w:val="047B6E51"/>
    <w:rsid w:val="0492C424"/>
    <w:rsid w:val="054E085B"/>
    <w:rsid w:val="0575A9C0"/>
    <w:rsid w:val="059F2811"/>
    <w:rsid w:val="05A16346"/>
    <w:rsid w:val="063E98DA"/>
    <w:rsid w:val="066B752E"/>
    <w:rsid w:val="07215D11"/>
    <w:rsid w:val="073B5213"/>
    <w:rsid w:val="07D6803A"/>
    <w:rsid w:val="0864D943"/>
    <w:rsid w:val="087AA2DF"/>
    <w:rsid w:val="09CB3460"/>
    <w:rsid w:val="0A534100"/>
    <w:rsid w:val="0AB5EE57"/>
    <w:rsid w:val="0AF1BB61"/>
    <w:rsid w:val="0B7B720C"/>
    <w:rsid w:val="0B857DF8"/>
    <w:rsid w:val="0BB05A8D"/>
    <w:rsid w:val="0C49C8A2"/>
    <w:rsid w:val="0C633AC0"/>
    <w:rsid w:val="0C853A8B"/>
    <w:rsid w:val="0CD166D5"/>
    <w:rsid w:val="0E091758"/>
    <w:rsid w:val="0E2097E3"/>
    <w:rsid w:val="0E288B40"/>
    <w:rsid w:val="0E886D6D"/>
    <w:rsid w:val="0EAC49AC"/>
    <w:rsid w:val="0ED2ABF0"/>
    <w:rsid w:val="0F6678C2"/>
    <w:rsid w:val="0F7F87CD"/>
    <w:rsid w:val="0F94011D"/>
    <w:rsid w:val="0FDC9C17"/>
    <w:rsid w:val="0FF221F1"/>
    <w:rsid w:val="101BE7AB"/>
    <w:rsid w:val="11138085"/>
    <w:rsid w:val="11B77CA3"/>
    <w:rsid w:val="11D363B1"/>
    <w:rsid w:val="12C3792D"/>
    <w:rsid w:val="12DD0097"/>
    <w:rsid w:val="12F1A73D"/>
    <w:rsid w:val="13287B50"/>
    <w:rsid w:val="136F0E00"/>
    <w:rsid w:val="13ECF67F"/>
    <w:rsid w:val="141966E6"/>
    <w:rsid w:val="147463DB"/>
    <w:rsid w:val="1526CE24"/>
    <w:rsid w:val="15460DFE"/>
    <w:rsid w:val="157042B1"/>
    <w:rsid w:val="15B11033"/>
    <w:rsid w:val="165466E2"/>
    <w:rsid w:val="1689936F"/>
    <w:rsid w:val="16D0FDC5"/>
    <w:rsid w:val="17C7D376"/>
    <w:rsid w:val="17E0B082"/>
    <w:rsid w:val="18079D41"/>
    <w:rsid w:val="1816FD21"/>
    <w:rsid w:val="18673340"/>
    <w:rsid w:val="19463FA4"/>
    <w:rsid w:val="19AA3881"/>
    <w:rsid w:val="19CEC19F"/>
    <w:rsid w:val="1A0F2A09"/>
    <w:rsid w:val="1A18FE0E"/>
    <w:rsid w:val="1A2B2BEA"/>
    <w:rsid w:val="1A52D3CC"/>
    <w:rsid w:val="1A6A33A2"/>
    <w:rsid w:val="1AC58842"/>
    <w:rsid w:val="1AE47948"/>
    <w:rsid w:val="1B24B20F"/>
    <w:rsid w:val="1B3CD6F7"/>
    <w:rsid w:val="1BD2A42C"/>
    <w:rsid w:val="1BF3CC92"/>
    <w:rsid w:val="1CCCEBB5"/>
    <w:rsid w:val="1D20BF47"/>
    <w:rsid w:val="1D4091FD"/>
    <w:rsid w:val="1D4EFCA0"/>
    <w:rsid w:val="1DB3D2F0"/>
    <w:rsid w:val="1DD5E8E8"/>
    <w:rsid w:val="1DF6F6EF"/>
    <w:rsid w:val="1E774B43"/>
    <w:rsid w:val="1E9244F9"/>
    <w:rsid w:val="1ECFB0A1"/>
    <w:rsid w:val="1EEB5E16"/>
    <w:rsid w:val="1F25B3B6"/>
    <w:rsid w:val="1FC995AC"/>
    <w:rsid w:val="2075232C"/>
    <w:rsid w:val="20B70C91"/>
    <w:rsid w:val="20E4ABC4"/>
    <w:rsid w:val="2104C4FA"/>
    <w:rsid w:val="214B58A6"/>
    <w:rsid w:val="2174FC14"/>
    <w:rsid w:val="2179DC13"/>
    <w:rsid w:val="222CCB14"/>
    <w:rsid w:val="230C6F02"/>
    <w:rsid w:val="23E6E5D5"/>
    <w:rsid w:val="24117C9C"/>
    <w:rsid w:val="249D4932"/>
    <w:rsid w:val="24D055AB"/>
    <w:rsid w:val="24F5F792"/>
    <w:rsid w:val="252E3A7C"/>
    <w:rsid w:val="256CD74A"/>
    <w:rsid w:val="257BD6F5"/>
    <w:rsid w:val="25CC3717"/>
    <w:rsid w:val="2675E1B3"/>
    <w:rsid w:val="2733880C"/>
    <w:rsid w:val="275543A2"/>
    <w:rsid w:val="275AB7FD"/>
    <w:rsid w:val="27A5A0F1"/>
    <w:rsid w:val="27E669F6"/>
    <w:rsid w:val="28953FC0"/>
    <w:rsid w:val="28AAA7C8"/>
    <w:rsid w:val="28F2B3A6"/>
    <w:rsid w:val="28FAE707"/>
    <w:rsid w:val="29C5B38B"/>
    <w:rsid w:val="2A21BE8E"/>
    <w:rsid w:val="2A32BF46"/>
    <w:rsid w:val="2AA55F19"/>
    <w:rsid w:val="2ACA1D5E"/>
    <w:rsid w:val="2AE481DD"/>
    <w:rsid w:val="2C463499"/>
    <w:rsid w:val="2C4FC2C4"/>
    <w:rsid w:val="2C68E269"/>
    <w:rsid w:val="2CB64B85"/>
    <w:rsid w:val="2DB950E3"/>
    <w:rsid w:val="2DD22B7B"/>
    <w:rsid w:val="2DDB3939"/>
    <w:rsid w:val="2E326944"/>
    <w:rsid w:val="2E60BCC7"/>
    <w:rsid w:val="2E66EF5E"/>
    <w:rsid w:val="2E6FD375"/>
    <w:rsid w:val="2EF26452"/>
    <w:rsid w:val="2EFEDEF1"/>
    <w:rsid w:val="2F1DEDD1"/>
    <w:rsid w:val="2F9E4A39"/>
    <w:rsid w:val="305724C4"/>
    <w:rsid w:val="30AE841A"/>
    <w:rsid w:val="312FAEA2"/>
    <w:rsid w:val="31426506"/>
    <w:rsid w:val="3157D90E"/>
    <w:rsid w:val="31C20CC1"/>
    <w:rsid w:val="31EAE955"/>
    <w:rsid w:val="31FD7191"/>
    <w:rsid w:val="320A4583"/>
    <w:rsid w:val="3227CE5A"/>
    <w:rsid w:val="32C730D8"/>
    <w:rsid w:val="333EC9C3"/>
    <w:rsid w:val="33ACD860"/>
    <w:rsid w:val="34182A30"/>
    <w:rsid w:val="343D92CD"/>
    <w:rsid w:val="34725A7E"/>
    <w:rsid w:val="356CAA9A"/>
    <w:rsid w:val="35B483AB"/>
    <w:rsid w:val="35BDBAD3"/>
    <w:rsid w:val="361C38B4"/>
    <w:rsid w:val="36CE3B8D"/>
    <w:rsid w:val="374ECF37"/>
    <w:rsid w:val="375CFB6B"/>
    <w:rsid w:val="3823A8EE"/>
    <w:rsid w:val="38343BDF"/>
    <w:rsid w:val="386D6F0D"/>
    <w:rsid w:val="386F941C"/>
    <w:rsid w:val="38DC784D"/>
    <w:rsid w:val="38F43854"/>
    <w:rsid w:val="38F4D092"/>
    <w:rsid w:val="39035868"/>
    <w:rsid w:val="39F237CA"/>
    <w:rsid w:val="3AA1F4AB"/>
    <w:rsid w:val="3AA28A04"/>
    <w:rsid w:val="3AADA292"/>
    <w:rsid w:val="3AE1581F"/>
    <w:rsid w:val="3B69138C"/>
    <w:rsid w:val="3C850E9E"/>
    <w:rsid w:val="3D6ED712"/>
    <w:rsid w:val="3E640F89"/>
    <w:rsid w:val="3F243891"/>
    <w:rsid w:val="3FD78815"/>
    <w:rsid w:val="3FE3D7CB"/>
    <w:rsid w:val="3FF3CCD0"/>
    <w:rsid w:val="409B4C76"/>
    <w:rsid w:val="40C36FE9"/>
    <w:rsid w:val="411C5BC2"/>
    <w:rsid w:val="41B98FA1"/>
    <w:rsid w:val="422BAB9A"/>
    <w:rsid w:val="42A93DD5"/>
    <w:rsid w:val="42BC0EE7"/>
    <w:rsid w:val="4361D46F"/>
    <w:rsid w:val="436E2379"/>
    <w:rsid w:val="43CF9DC3"/>
    <w:rsid w:val="44104F00"/>
    <w:rsid w:val="443B4999"/>
    <w:rsid w:val="4452B3E3"/>
    <w:rsid w:val="4487D870"/>
    <w:rsid w:val="44AC597C"/>
    <w:rsid w:val="44D151E2"/>
    <w:rsid w:val="44DD2C6B"/>
    <w:rsid w:val="44EBF9B6"/>
    <w:rsid w:val="455D64F5"/>
    <w:rsid w:val="456B8916"/>
    <w:rsid w:val="4598A6BF"/>
    <w:rsid w:val="461DB392"/>
    <w:rsid w:val="462C093C"/>
    <w:rsid w:val="46B70751"/>
    <w:rsid w:val="4758B0A8"/>
    <w:rsid w:val="4769BB83"/>
    <w:rsid w:val="47FDB134"/>
    <w:rsid w:val="489F2423"/>
    <w:rsid w:val="4A580015"/>
    <w:rsid w:val="4AC0A860"/>
    <w:rsid w:val="4BE6ECC3"/>
    <w:rsid w:val="4BF04556"/>
    <w:rsid w:val="4C1D935E"/>
    <w:rsid w:val="4C694538"/>
    <w:rsid w:val="4D5F9F0F"/>
    <w:rsid w:val="4D6BFEFD"/>
    <w:rsid w:val="4DF0639F"/>
    <w:rsid w:val="4DF16111"/>
    <w:rsid w:val="4E34AD2E"/>
    <w:rsid w:val="4E684EA3"/>
    <w:rsid w:val="4E89BEBE"/>
    <w:rsid w:val="4EF2CB18"/>
    <w:rsid w:val="4F0CEBB3"/>
    <w:rsid w:val="4F4EDB9B"/>
    <w:rsid w:val="51AD10B6"/>
    <w:rsid w:val="52CCFA2B"/>
    <w:rsid w:val="52FBF894"/>
    <w:rsid w:val="5352C4E9"/>
    <w:rsid w:val="53A2DCDD"/>
    <w:rsid w:val="53B43681"/>
    <w:rsid w:val="53E50AB6"/>
    <w:rsid w:val="53FCC156"/>
    <w:rsid w:val="54AC16DE"/>
    <w:rsid w:val="559206F3"/>
    <w:rsid w:val="559B993F"/>
    <w:rsid w:val="56012793"/>
    <w:rsid w:val="567AA9D4"/>
    <w:rsid w:val="572CA3C4"/>
    <w:rsid w:val="57356F6E"/>
    <w:rsid w:val="57BC6BC1"/>
    <w:rsid w:val="57FAF16D"/>
    <w:rsid w:val="58A82E65"/>
    <w:rsid w:val="58B8C5AC"/>
    <w:rsid w:val="58EADF19"/>
    <w:rsid w:val="592DD84D"/>
    <w:rsid w:val="598BA94B"/>
    <w:rsid w:val="59D74177"/>
    <w:rsid w:val="59F5AAB0"/>
    <w:rsid w:val="5A2A5BF8"/>
    <w:rsid w:val="5A327ED0"/>
    <w:rsid w:val="5A52E4D0"/>
    <w:rsid w:val="5AF2AF57"/>
    <w:rsid w:val="5B41AADB"/>
    <w:rsid w:val="5B549E8A"/>
    <w:rsid w:val="5B7DD204"/>
    <w:rsid w:val="5B87DB46"/>
    <w:rsid w:val="5C47084C"/>
    <w:rsid w:val="5D013E62"/>
    <w:rsid w:val="5D1E33BA"/>
    <w:rsid w:val="5E440832"/>
    <w:rsid w:val="5E577603"/>
    <w:rsid w:val="5E75A2B7"/>
    <w:rsid w:val="5EB2A3BC"/>
    <w:rsid w:val="5F297557"/>
    <w:rsid w:val="5F2A3F6C"/>
    <w:rsid w:val="5F3707B6"/>
    <w:rsid w:val="5FF6F2D7"/>
    <w:rsid w:val="607D8031"/>
    <w:rsid w:val="6099A470"/>
    <w:rsid w:val="60CBEB30"/>
    <w:rsid w:val="61DB115C"/>
    <w:rsid w:val="625E2304"/>
    <w:rsid w:val="62FCB9B0"/>
    <w:rsid w:val="631BE538"/>
    <w:rsid w:val="634C9B4C"/>
    <w:rsid w:val="636A5B7C"/>
    <w:rsid w:val="638DABC2"/>
    <w:rsid w:val="63F84AE9"/>
    <w:rsid w:val="63FDF9A3"/>
    <w:rsid w:val="640364CC"/>
    <w:rsid w:val="6473F70C"/>
    <w:rsid w:val="649531B9"/>
    <w:rsid w:val="64A1DCC7"/>
    <w:rsid w:val="64FF5A7E"/>
    <w:rsid w:val="6506693D"/>
    <w:rsid w:val="654FCB82"/>
    <w:rsid w:val="656817D5"/>
    <w:rsid w:val="65E26977"/>
    <w:rsid w:val="66779D14"/>
    <w:rsid w:val="66D03013"/>
    <w:rsid w:val="67520567"/>
    <w:rsid w:val="677597A2"/>
    <w:rsid w:val="6784E8D4"/>
    <w:rsid w:val="684A4570"/>
    <w:rsid w:val="68D56F5E"/>
    <w:rsid w:val="68FCADF6"/>
    <w:rsid w:val="695344AA"/>
    <w:rsid w:val="699428DD"/>
    <w:rsid w:val="69A0D4FA"/>
    <w:rsid w:val="69B936A1"/>
    <w:rsid w:val="69BF4DC1"/>
    <w:rsid w:val="69E70464"/>
    <w:rsid w:val="6B18DA32"/>
    <w:rsid w:val="6B1BCDBF"/>
    <w:rsid w:val="6B1DC41E"/>
    <w:rsid w:val="6B68C26F"/>
    <w:rsid w:val="6BC08427"/>
    <w:rsid w:val="6BE61EE7"/>
    <w:rsid w:val="6C440FA4"/>
    <w:rsid w:val="6C6A9450"/>
    <w:rsid w:val="6CBF75E7"/>
    <w:rsid w:val="6D1D9496"/>
    <w:rsid w:val="6D2133DE"/>
    <w:rsid w:val="6DF2D349"/>
    <w:rsid w:val="6E770BA8"/>
    <w:rsid w:val="6E9F0EA7"/>
    <w:rsid w:val="6F04C1C5"/>
    <w:rsid w:val="6F62E79B"/>
    <w:rsid w:val="6F728F2D"/>
    <w:rsid w:val="6FBFFA25"/>
    <w:rsid w:val="6FD9A02D"/>
    <w:rsid w:val="7062B242"/>
    <w:rsid w:val="707503EE"/>
    <w:rsid w:val="7084B191"/>
    <w:rsid w:val="712ACE27"/>
    <w:rsid w:val="712D3911"/>
    <w:rsid w:val="71B9C9D1"/>
    <w:rsid w:val="71DA5AC4"/>
    <w:rsid w:val="71EF5209"/>
    <w:rsid w:val="720F21FD"/>
    <w:rsid w:val="72542B42"/>
    <w:rsid w:val="725C0804"/>
    <w:rsid w:val="72734ED1"/>
    <w:rsid w:val="728995E5"/>
    <w:rsid w:val="72C9B906"/>
    <w:rsid w:val="72ECEE98"/>
    <w:rsid w:val="73547013"/>
    <w:rsid w:val="737989C6"/>
    <w:rsid w:val="73829CC4"/>
    <w:rsid w:val="738A4425"/>
    <w:rsid w:val="740E56FD"/>
    <w:rsid w:val="7424B0AC"/>
    <w:rsid w:val="74579E53"/>
    <w:rsid w:val="74965011"/>
    <w:rsid w:val="7539B53C"/>
    <w:rsid w:val="754DBB4E"/>
    <w:rsid w:val="759A700A"/>
    <w:rsid w:val="75BBCD63"/>
    <w:rsid w:val="75C7B934"/>
    <w:rsid w:val="75EF034C"/>
    <w:rsid w:val="762080CD"/>
    <w:rsid w:val="76451BA0"/>
    <w:rsid w:val="764AB357"/>
    <w:rsid w:val="765320BD"/>
    <w:rsid w:val="766DD3BB"/>
    <w:rsid w:val="7678E4EF"/>
    <w:rsid w:val="770AD513"/>
    <w:rsid w:val="778E683C"/>
    <w:rsid w:val="77BF6EA0"/>
    <w:rsid w:val="78153FEC"/>
    <w:rsid w:val="78157A45"/>
    <w:rsid w:val="7830B160"/>
    <w:rsid w:val="7A57D5E3"/>
    <w:rsid w:val="7A679834"/>
    <w:rsid w:val="7AB91910"/>
    <w:rsid w:val="7AD99740"/>
    <w:rsid w:val="7B105129"/>
    <w:rsid w:val="7B6BB41B"/>
    <w:rsid w:val="7BB0F9A6"/>
    <w:rsid w:val="7C4BB0DA"/>
    <w:rsid w:val="7C590B2D"/>
    <w:rsid w:val="7CF700A7"/>
    <w:rsid w:val="7D9FAB80"/>
    <w:rsid w:val="7E1C476D"/>
    <w:rsid w:val="7E47357E"/>
    <w:rsid w:val="7E94AA39"/>
    <w:rsid w:val="7ED670BE"/>
    <w:rsid w:val="7FC68FDD"/>
    <w:rsid w:val="7FF7E9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C4E9"/>
  <w15:chartTrackingRefBased/>
  <w15:docId w15:val="{E5657996-97A9-453F-97CC-3ACD80426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7B6BB41B"/>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409B4C76"/>
    <w:rPr>
      <w:color w:val="467886"/>
      <w:u w:val="single"/>
    </w:rPr>
  </w:style>
  <w:style w:type="paragraph" w:styleId="Prrafodelista">
    <w:name w:val="List Paragraph"/>
    <w:basedOn w:val="Normal"/>
    <w:uiPriority w:val="34"/>
    <w:qFormat/>
    <w:rsid w:val="66779D14"/>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E528D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28D4"/>
  </w:style>
  <w:style w:type="paragraph" w:styleId="Piedepgina">
    <w:name w:val="footer"/>
    <w:basedOn w:val="Normal"/>
    <w:link w:val="PiedepginaCar"/>
    <w:uiPriority w:val="99"/>
    <w:unhideWhenUsed/>
    <w:rsid w:val="00E528D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28D4"/>
  </w:style>
  <w:style w:type="paragraph" w:styleId="Asuntodelcomentario">
    <w:name w:val="annotation subject"/>
    <w:basedOn w:val="Textocomentario"/>
    <w:next w:val="Textocomentario"/>
    <w:link w:val="AsuntodelcomentarioCar"/>
    <w:uiPriority w:val="99"/>
    <w:semiHidden/>
    <w:unhideWhenUsed/>
    <w:rsid w:val="001F4F65"/>
    <w:rPr>
      <w:b/>
      <w:bCs/>
    </w:rPr>
  </w:style>
  <w:style w:type="character" w:customStyle="1" w:styleId="AsuntodelcomentarioCar">
    <w:name w:val="Asunto del comentario Car"/>
    <w:basedOn w:val="TextocomentarioCar"/>
    <w:link w:val="Asuntodelcomentario"/>
    <w:uiPriority w:val="99"/>
    <w:semiHidden/>
    <w:rsid w:val="001F4F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3.bcra.gob.ar/" TargetMode="Externa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2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CEAE37-CEB8-47B0-9895-BEA8F04D9FCA}">
  <we:reference id="wa200010453" version="1.0.0.1" store="es-ES" storeType="OMEX"/>
  <we:alternateReferences>
    <we:reference id="WA200010453" version="1.0.0.1" store="" storeType="OMEX"/>
  </we:alternateReferences>
  <we:properties>
    <we:property name="claude.fileId" value="&quot;b963f312-7b0d-46b0-99ac-0907c24b1b5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1305</TotalTime>
  <Pages>28</Pages>
  <Words>7415</Words>
  <Characters>39449</Characters>
  <Application>Microsoft Office Word</Application>
  <DocSecurity>0</DocSecurity>
  <Lines>773</Lines>
  <Paragraphs>349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Longo, Sergio Martin</dc:creator>
  <cp:keywords/>
  <dc:description/>
  <cp:lastModifiedBy>Longo, Sergio Martin</cp:lastModifiedBy>
  <cp:revision>4</cp:revision>
  <dcterms:created xsi:type="dcterms:W3CDTF">2025-08-12T15:08:00Z</dcterms:created>
  <dcterms:modified xsi:type="dcterms:W3CDTF">2026-06-03T20:06:00Z</dcterms:modified>
</cp:coreProperties>
</file>