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00"/>
        <w:jc w:val="center"/>
      </w:pPr>
      <w:r>
        <w:rPr>
          <w:rFonts w:ascii="Helvetica" w:eastAsia="WenQuanYi Zen Hei" w:hAnsi="Helvetica"/>
          <w:b/>
          <w:bCs/>
          <w:sz w:val="36"/>
          <w:szCs w:val="36"/>
        </w:rPr>
        <w:t xml:space="preserve">Differential Sparse Regularization for Longitudinal Power Anomaly Localization</w:t>
      </w:r>
    </w:p>
    <w:p>
      <w:pPr>
        <w:spacing w:after="60"/>
        <w:jc w:val="center"/>
      </w:pPr>
      <w:r>
        <w:rPr>
          <w:rFonts w:ascii="Helvetica" w:eastAsia="WenQuanYi Zen Hei" w:hAnsi="Helvetica"/>
          <w:color w:val="595959"/>
          <w:sz w:val="24"/>
          <w:szCs w:val="24"/>
        </w:rPr>
        <w:t xml:space="preserve">Scheme Assessment and Simulation Reproduction Report — from Theory to Simulation Results</w:t>
      </w:r>
    </w:p>
    <w:p>
      <w:pPr>
        <w:spacing w:after="240"/>
        <w:jc w:val="center"/>
      </w:pPr>
      <w:r>
        <w:rPr>
          <w:rFonts w:ascii="Helvetica" w:eastAsia="WenQuanYi Zen Hei" w:hAnsi="Helvetica"/>
          <w:color w:val="808080"/>
          <w:sz w:val="18"/>
          <w:szCs w:val="18"/>
        </w:rPr>
        <w:t xml:space="preserve">August 10, 2026 · repo longrain153/PPE2 · branch claude/ppe-localization-accuracy-9tirgk</w:t>
      </w:r>
    </w:p>
    <w:p>
      <w:pPr>
        <w:pStyle w:val="Heading1"/>
        <w:spacing w:after="140" w:before="280"/>
      </w:pPr>
      <w:r>
        <w:rPr>
          <w:rFonts w:ascii="Helvetica" w:eastAsia="WenQuanYi Zen Hei" w:hAnsi="Helvetica"/>
          <w:b/>
          <w:bCs/>
          <w:color w:val="1F4E79"/>
          <w:sz w:val="30"/>
          <w:szCs w:val="30"/>
        </w:rPr>
        <w:t xml:space="preserve">1. Executive Summary</w:t>
      </w:r>
    </w:p>
    <w:p>
      <w:pPr>
        <w:spacing w:after="120" w:line="300"/>
      </w:pPr>
      <w:r>
        <w:rPr>
          <w:rFonts w:ascii="Helvetica" w:eastAsia="WenQuanYi Zen Hei" w:hAnsi="Helvetica"/>
          <w:sz w:val="21"/>
          <w:szCs w:val="21"/>
        </w:rPr>
        <w:t xml:space="preserve">This report assesses a "differential sparse PPE" scheme intended to improve fault-localization accuracy in fiber-longitudinal power profile estimation (PPE / Longitudinal Power Monitoring, LPM): build a low-noise reference profile from abundant pre-fault data, then, after the fault, solve only for the change relative to that reference under a step-sparsity prior (generalized Lasso / total-variation regularization). Theory and numerical simulation show the core idea is sound and is essentially the approach published by Fujitsu (OECC 2024) and NTT (ECOC 2025). Under 64 GBd, 3 × 50 km, a 3-dB lumped loss, and a single post-fault capture, localization error improves from tens of kilometres (naive profile subtraction) to 0.15 km — the resolution floor of the 1-km estimation grid — with 100-m matched-filter refinement at 0.65–0.85 km: roughly two orders of magnitude. However, two formulation details in the original proposal require correction, and the claimed "50–200 m, purely noise-limited" accuracy remains over-optimistic: the spatial-resolution physics set by chromatic dispersion × bandwidth² still applies, and even with abundant data, sub-kilometre (~0.5–1 km) is the realistic expectation in this regime, consistent with experimental literature.</w:t>
      </w:r>
    </w:p>
    <w:p>
      <w:pPr>
        <w:pStyle w:val="Heading1"/>
        <w:spacing w:after="140" w:before="280"/>
      </w:pPr>
      <w:r>
        <w:rPr>
          <w:rFonts w:ascii="Helvetica" w:eastAsia="WenQuanYi Zen Hei" w:hAnsi="Helvetica"/>
          <w:b/>
          <w:bCs/>
          <w:color w:val="1F4E79"/>
          <w:sz w:val="30"/>
          <w:szCs w:val="30"/>
        </w:rPr>
        <w:t xml:space="preserve">2. Background and Problem</w:t>
      </w:r>
    </w:p>
    <w:p>
      <w:pPr>
        <w:spacing w:after="120" w:line="300"/>
      </w:pPr>
      <w:r>
        <w:rPr>
          <w:rFonts w:ascii="Helvetica" w:eastAsia="WenQuanYi Zen Hei" w:hAnsi="Helvetica"/>
          <w:sz w:val="21"/>
          <w:szCs w:val="21"/>
        </w:rPr>
        <w:t xml:space="preserve">PPE/LPM inverts the Kerr nonlinearity imprinted on the received signal to reconstruct the power distribution along a link using receiver-side DSP only — no OTDR or dedicated hardware. It can monitor amplifier gains, span losses, and anomalous loss events (degraded splices, cable stress). The core challenge is that under practical low-power, limited-data conditions the estimate is noisy and spatially resolution-limited, making small lumped losses hard to pinpoint.</w:t>
      </w:r>
    </w:p>
    <w:p>
      <w:pPr>
        <w:spacing w:after="120" w:line="300"/>
      </w:pPr>
      <w:r>
        <w:rPr>
          <w:rFonts w:ascii="Helvetica" w:eastAsia="WenQuanYi Zen Hei" w:hAnsi="Helvetica"/>
          <w:sz w:val="21"/>
          <w:szCs w:val="21"/>
        </w:rPr>
        <w:t xml:space="preserve">The operational scenario considered here: before the fault there is ample time to collect data and form a reference; after the fault, data are limited, and a single dominant loss event must be localized as accurately as possible.</w:t>
      </w:r>
    </w:p>
    <w:p>
      <w:pPr>
        <w:pStyle w:val="Heading1"/>
        <w:spacing w:after="140" w:before="280"/>
      </w:pPr>
      <w:r>
        <w:rPr>
          <w:rFonts w:ascii="Helvetica" w:eastAsia="WenQuanYi Zen Hei" w:hAnsi="Helvetica"/>
          <w:b/>
          <w:bCs/>
          <w:color w:val="1F4E79"/>
          <w:sz w:val="30"/>
          <w:szCs w:val="30"/>
        </w:rPr>
        <w:t xml:space="preserve">3. Theory</w:t>
      </w:r>
    </w:p>
    <w:p>
      <w:pPr>
        <w:pStyle w:val="Heading2"/>
        <w:spacing w:after="110" w:before="220"/>
      </w:pPr>
      <w:r>
        <w:rPr>
          <w:rFonts w:ascii="Helvetica" w:eastAsia="WenQuanYi Zen Hei" w:hAnsi="Helvetica"/>
          <w:b/>
          <w:bCs/>
          <w:color w:val="2E74B5"/>
          <w:sz w:val="24"/>
          <w:szCs w:val="24"/>
        </w:rPr>
        <w:t xml:space="preserve">3.1 The LS-PPE linear model (RP1)</w:t>
      </w:r>
    </w:p>
    <w:p>
      <w:pPr>
        <w:spacing w:after="120" w:line="300"/>
      </w:pPr>
      <w:r>
        <w:rPr>
          <w:rFonts w:ascii="Helvetica" w:eastAsia="WenQuanYi Zen Hei" w:hAnsi="Helvetica"/>
          <w:sz w:val="21"/>
          <w:szCs w:val="21"/>
        </w:rPr>
        <w:t xml:space="preserve">Under the first-order regular perturbation (RP1) approximation, the nonlinear perturbation of the received signal is linear in the "generalized nonlinear coefficient" γ′(z) = γ·P(z). Discretizing the link into M spatial bins gives the matrix form:</w:t>
      </w:r>
    </w:p>
    <w:p>
      <w:pPr>
        <w:spacing w:after="120" w:before="60"/>
        <w:jc w:val="center"/>
      </w:pPr>
      <w:r>
        <w:rPr>
          <w:rFonts w:ascii="Times New Roman" w:eastAsia="WenQuanYi Zen Hei" w:hAnsi="Times New Roman"/>
          <w:i/>
          <w:iCs/>
          <w:sz w:val="22"/>
          <w:szCs w:val="22"/>
        </w:rPr>
        <w:t xml:space="preserve">A₁ ≈ G·γ′,  gₖ = D(−zₖ)[ j·|uₖ|²uₖ ],  uₖ = D(zₖ)·u₀</w:t>
      </w:r>
    </w:p>
    <w:p>
      <w:pPr>
        <w:spacing w:after="120" w:line="300"/>
      </w:pPr>
      <w:r>
        <w:rPr>
          <w:rFonts w:ascii="Helvetica" w:eastAsia="WenQuanYi Zen Hei" w:hAnsi="Helvetica"/>
          <w:sz w:val="21"/>
          <w:szCs w:val="21"/>
        </w:rPr>
        <w:t xml:space="preserve">where D(z) is the dispersion operator and u₀ the known transmitted waveform. Each column gₖ is the receiver-side "fingerprint" of nonlinearity generated at position zₖ. The least-squares solution (LS-PPE, Sasai et al., JLT 2023) is:</w:t>
      </w:r>
    </w:p>
    <w:p>
      <w:pPr>
        <w:spacing w:after="120" w:before="60"/>
        <w:jc w:val="center"/>
      </w:pPr>
      <w:r>
        <w:rPr>
          <w:rFonts w:ascii="Times New Roman" w:eastAsia="WenQuanYi Zen Hei" w:hAnsi="Times New Roman"/>
          <w:i/>
          <w:iCs/>
          <w:sz w:val="22"/>
          <w:szCs w:val="22"/>
        </w:rPr>
        <w:t xml:space="preserve">γ̂′ = ( Re[G†G] )⁻¹ Re[G†A₁]</w:t>
      </w:r>
    </w:p>
    <w:p>
      <w:pPr>
        <w:pStyle w:val="Heading2"/>
        <w:spacing w:after="110" w:before="220"/>
      </w:pPr>
      <w:r>
        <w:rPr>
          <w:rFonts w:ascii="Helvetica" w:eastAsia="WenQuanYi Zen Hei" w:hAnsi="Helvetica"/>
          <w:b/>
          <w:bCs/>
          <w:color w:val="2E74B5"/>
          <w:sz w:val="24"/>
          <w:szCs w:val="24"/>
        </w:rPr>
        <w:t xml:space="preserve">3.2 Ill-posedness and the minimum step size</w:t>
      </w:r>
    </w:p>
    <w:p>
      <w:pPr>
        <w:spacing w:after="120" w:line="300"/>
      </w:pPr>
      <w:r>
        <w:rPr>
          <w:rFonts w:ascii="Helvetica" w:eastAsia="WenQuanYi Zen Hei" w:hAnsi="Helvetica"/>
          <w:sz w:val="21"/>
          <w:szCs w:val="21"/>
        </w:rPr>
        <w:t xml:space="preserve">Adjacent columns gₖ, gₖ₊₁ are distinguishable only through the waveform change that chromatic dispersion produces between the two positions. When the step Δz is too small, adjacent columns become highly correlated, Re[G†G] approaches singularity, and noise is severely amplified. The smallest resolvable step is set jointly by dispersion and signal bandwidth:</w:t>
      </w:r>
    </w:p>
    <w:p>
      <w:pPr>
        <w:spacing w:after="120" w:before="60"/>
        <w:jc w:val="center"/>
      </w:pPr>
      <w:r>
        <w:rPr>
          <w:rFonts w:ascii="Times New Roman" w:eastAsia="WenQuanYi Zen Hei" w:hAnsi="Times New Roman"/>
          <w:i/>
          <w:iCs/>
          <w:sz w:val="22"/>
          <w:szCs w:val="22"/>
        </w:rPr>
        <w:t xml:space="preserve">Δz_min ∝ 1 / ( |β₂|·BW² )</w:t>
      </w:r>
    </w:p>
    <w:p>
      <w:pPr>
        <w:spacing w:after="120" w:line="300"/>
      </w:pPr>
      <w:r>
        <w:rPr>
          <w:rFonts w:ascii="Helvetica" w:eastAsia="WenQuanYi Zen Hei" w:hAnsi="Helvetica"/>
          <w:sz w:val="21"/>
          <w:szCs w:val="21"/>
        </w:rPr>
        <w:t xml:space="preserve">This is a physical limit: regularization does not change the physics behind the column correlation; it stabilizes the inversion mathematically by trading bias for variance through prior knowledge.</w:t>
      </w:r>
    </w:p>
    <w:p>
      <w:pPr>
        <w:pStyle w:val="Heading2"/>
        <w:spacing w:after="110" w:before="220"/>
      </w:pPr>
      <w:r>
        <w:rPr>
          <w:rFonts w:ascii="Helvetica" w:eastAsia="WenQuanYi Zen Hei" w:hAnsi="Helvetica"/>
          <w:b/>
          <w:bCs/>
          <w:color w:val="2E74B5"/>
          <w:sz w:val="24"/>
          <w:szCs w:val="24"/>
        </w:rPr>
        <w:t xml:space="preserve">3.3 The differential sparse scheme and two required corrections</w:t>
      </w:r>
    </w:p>
    <w:p>
      <w:pPr>
        <w:spacing w:after="120" w:line="300"/>
      </w:pPr>
      <w:r>
        <w:rPr>
          <w:rFonts w:ascii="Helvetica" w:eastAsia="WenQuanYi Zen Hei" w:hAnsi="Helvetica"/>
          <w:sz w:val="21"/>
          <w:szCs w:val="21"/>
        </w:rPr>
        <w:t xml:space="preserve">The scheme under assessment: with reference profile x_ref (averaged from abundant pre-fault data), exploit model linearity to solve for the change Δx after the fault, with an L₁ sparsity constraint on its spatial derivative so the entire power drop collapses onto a single change point. Two details had to be corrected:</w:t>
      </w:r>
    </w:p>
    <w:p>
      <w:pPr>
        <w:pStyle w:val="ListParagraph"/>
        <w:numPr>
          <w:ilvl w:val="0"/>
          <w:numId w:val="2"/>
        </w:numPr>
        <w:spacing w:after="80" w:line="300"/>
      </w:pPr>
      <w:r>
        <w:rPr>
          <w:rFonts w:ascii="Helvetica" w:eastAsia="WenQuanYi Zen Hei" w:hAnsi="Helvetica"/>
          <w:b/>
          <w:bCs/>
          <w:sz w:val="21"/>
          <w:szCs w:val="21"/>
        </w:rPr>
        <w:t xml:space="preserve">Correction 1: Δy = y_ref − y_fault is not directly computable.</w:t>
      </w:r>
      <w:r>
        <w:rPr>
          <w:rFonts w:ascii="Helvetica" w:eastAsia="WenQuanYi Zen Hei" w:hAnsi="Helvetica"/>
          <w:sz w:val="21"/>
          <w:szCs w:val="21"/>
        </w:rPr>
        <w:t xml:space="preserve"> Different captures carry different transmitted symbols, so perturbation vectors from different captures cannot be subtracted sample-by-sample. The correct differential residual projects the reference profile through the current capture's own operator: r = y_fault − G_fault·x_ref.</w:t>
      </w:r>
    </w:p>
    <w:p>
      <w:pPr>
        <w:pStyle w:val="ListParagraph"/>
        <w:numPr>
          <w:ilvl w:val="0"/>
          <w:numId w:val="2"/>
        </w:numPr>
        <w:spacing w:after="80" w:line="300"/>
      </w:pPr>
      <w:r>
        <w:rPr>
          <w:rFonts w:ascii="Helvetica" w:eastAsia="WenQuanYi Zen Hei" w:hAnsi="Helvetica"/>
          <w:b/>
          <w:bCs/>
          <w:sz w:val="21"/>
          <w:szCs w:val="21"/>
        </w:rPr>
        <w:t xml:space="preserve">Correction 2: a plain first-difference penalty ‖DΔx‖₁ is the wrong sparsity basis.</w:t>
      </w:r>
      <w:r>
        <w:rPr>
          <w:rFonts w:ascii="Helvetica" w:eastAsia="WenQuanYi Zen Hei" w:hAnsi="Helvetica"/>
          <w:sz w:val="21"/>
          <w:szCs w:val="21"/>
        </w:rPr>
        <w:t xml:space="preserve"> Δx itself decays with fiber loss and jumps at EDFAs, so its plain first difference is not sparse. The total-variation constraint must be applied in the relative-change domain u = Δx / x_ref, where a lumped loss makes u an exact step function (equivalent to Fujitsu's attenuation-weighted J-matrix).</w:t>
      </w:r>
    </w:p>
    <w:p>
      <w:pPr>
        <w:spacing w:after="120" w:line="300"/>
      </w:pPr>
      <w:r>
        <w:rPr>
          <w:rFonts w:ascii="Helvetica" w:eastAsia="WenQuanYi Zen Hei" w:hAnsi="Helvetica"/>
          <w:sz w:val="21"/>
          <w:szCs w:val="21"/>
        </w:rPr>
        <w:t xml:space="preserve">The corrected optimization problem is:</w:t>
      </w:r>
    </w:p>
    <w:p>
      <w:pPr>
        <w:spacing w:after="120" w:before="60"/>
        <w:jc w:val="center"/>
      </w:pPr>
      <w:r>
        <w:rPr>
          <w:rFonts w:ascii="Times New Roman" w:eastAsia="WenQuanYi Zen Hei" w:hAnsi="Times New Roman"/>
          <w:i/>
          <w:iCs/>
          <w:sz w:val="22"/>
          <w:szCs w:val="22"/>
        </w:rPr>
        <w:t xml:space="preserve">min_u ½‖ G·diag(x_ref)·u − r ‖₂² + λ‖ D u ‖₁</w:t>
      </w:r>
    </w:p>
    <w:p>
      <w:pPr>
        <w:pStyle w:val="Heading2"/>
        <w:spacing w:after="110" w:before="220"/>
      </w:pPr>
      <w:r>
        <w:rPr>
          <w:rFonts w:ascii="Helvetica" w:eastAsia="WenQuanYi Zen Hei" w:hAnsi="Helvetica"/>
          <w:b/>
          <w:bCs/>
          <w:color w:val="2E74B5"/>
          <w:sz w:val="24"/>
          <w:szCs w:val="24"/>
        </w:rPr>
        <w:t xml:space="preserve">3.4 Solver and refinement</w:t>
      </w:r>
    </w:p>
    <w:p>
      <w:pPr>
        <w:pStyle w:val="ListParagraph"/>
        <w:numPr>
          <w:ilvl w:val="0"/>
          <w:numId w:val="2"/>
        </w:numPr>
        <w:spacing w:after="80" w:line="300"/>
      </w:pPr>
      <w:r>
        <w:rPr>
          <w:rFonts w:ascii="Helvetica" w:eastAsia="WenQuanYi Zen Hei" w:hAnsi="Helvetica"/>
          <w:b/>
          <w:bCs/>
          <w:sz w:val="21"/>
          <w:szCs w:val="21"/>
        </w:rPr>
        <w:t xml:space="preserve">ADMM + λ path:</w:t>
      </w:r>
      <w:r>
        <w:rPr>
          <w:rFonts w:ascii="Helvetica" w:eastAsia="WenQuanYi Zen Hei" w:hAnsi="Helvetica"/>
          <w:sz w:val="21"/>
          <w:szCs w:val="21"/>
        </w:rPr>
        <w:t xml:space="preserve"> The generalized Lasso is solved with ADMM; λ is swept along a descending, warm-started path, keeping the solution with the sparsest non-empty jump support — no manual tuning. Support detection uses ADMM's sparse copy variable, which is exactly sparse.</w:t>
      </w:r>
    </w:p>
    <w:p>
      <w:pPr>
        <w:pStyle w:val="ListParagraph"/>
        <w:numPr>
          <w:ilvl w:val="0"/>
          <w:numId w:val="2"/>
        </w:numPr>
        <w:spacing w:after="80" w:line="300"/>
      </w:pPr>
      <w:r>
        <w:rPr>
          <w:rFonts w:ascii="Helvetica" w:eastAsia="WenQuanYi Zen Hei" w:hAnsi="Helvetica"/>
          <w:b/>
          <w:bCs/>
          <w:sz w:val="21"/>
          <w:szCs w:val="21"/>
        </w:rPr>
        <w:t xml:space="preserve">Matched-filter refinement:</w:t>
      </w:r>
      <w:r>
        <w:rPr>
          <w:rFonts w:ascii="Helvetica" w:eastAsia="WenQuanYi Zen Hei" w:hAnsi="Helvetica"/>
          <w:sz w:val="21"/>
          <w:szCs w:val="21"/>
        </w:rPr>
        <w:t xml:space="preserve"> Centred on the sparse-detected bin, candidate fault positions are scanned on a 100-m grid: the RP1 step signature of a unit-depth loss at z_c, s(z_c) = −G·[x_ref·step(z&gt;z_c)], is correlated with the residual r; the correlation peak gives the position, and a least-squares amplitude refit removes the Lasso shrinkage bias to estimate the loss magnitude.</w:t>
      </w:r>
    </w:p>
    <w:p>
      <w:pPr>
        <w:pStyle w:val="Heading1"/>
        <w:spacing w:after="140" w:before="280"/>
      </w:pPr>
      <w:r>
        <w:rPr>
          <w:rFonts w:ascii="Helvetica" w:eastAsia="WenQuanYi Zen Hei" w:hAnsi="Helvetica"/>
          <w:b/>
          <w:bCs/>
          <w:color w:val="1F4E79"/>
          <w:sz w:val="30"/>
          <w:szCs w:val="30"/>
        </w:rPr>
        <w:t xml:space="preserve">4. Simulation Setup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50"/>
        <w:gridCol w:w="2050"/>
        <w:gridCol w:w="2660"/>
      </w:tblGrid>
      <w:tr>
        <w:tc>
          <w:tcPr>
            <w:tcW w:type="dxa" w:w="2600"/>
            <w:shd w:fill="D9E2F3" w:val="clear"/>
            <w:tcMar>
              <w:top w:type="dxa" w:w="60"/>
              <w:left w:type="dxa" w:w="100"/>
              <w:bottom w:type="dxa" w:w="60"/>
              <w:right w:type="dxa" w:w="100"/>
            </w:tcMar>
          </w:tcPr>
          <w:p>
            <w:pPr>
              <w:spacing w:after="0"/>
            </w:pPr>
            <w:r>
              <w:rPr>
                <w:rFonts w:ascii="Helvetica" w:eastAsia="WenQuanYi Zen Hei" w:hAnsi="Helvetica"/>
                <w:b/>
                <w:bCs/>
                <w:sz w:val="21"/>
                <w:szCs w:val="21"/>
              </w:rPr>
              <w:t xml:space="preserve">Parameter</w:t>
            </w:r>
          </w:p>
        </w:tc>
        <w:tc>
          <w:tcPr>
            <w:tcW w:type="dxa" w:w="2050"/>
            <w:shd w:fill="D9E2F3" w:val="clear"/>
            <w:tcMar>
              <w:top w:type="dxa" w:w="60"/>
              <w:left w:type="dxa" w:w="100"/>
              <w:bottom w:type="dxa" w:w="60"/>
              <w:right w:type="dxa" w:w="100"/>
            </w:tcMar>
          </w:tcPr>
          <w:p>
            <w:pPr>
              <w:spacing w:after="0"/>
            </w:pPr>
            <w:r>
              <w:rPr>
                <w:rFonts w:ascii="Helvetica" w:eastAsia="WenQuanYi Zen Hei" w:hAnsi="Helvetica"/>
                <w:b/>
                <w:bCs/>
                <w:sz w:val="21"/>
                <w:szCs w:val="21"/>
              </w:rPr>
              <w:t xml:space="preserve">Value</w:t>
            </w:r>
          </w:p>
        </w:tc>
        <w:tc>
          <w:tcPr>
            <w:tcW w:type="dxa" w:w="2050"/>
            <w:shd w:fill="D9E2F3" w:val="clear"/>
            <w:tcMar>
              <w:top w:type="dxa" w:w="60"/>
              <w:left w:type="dxa" w:w="100"/>
              <w:bottom w:type="dxa" w:w="60"/>
              <w:right w:type="dxa" w:w="100"/>
            </w:tcMar>
          </w:tcPr>
          <w:p>
            <w:pPr>
              <w:spacing w:after="0"/>
            </w:pPr>
            <w:r>
              <w:rPr>
                <w:rFonts w:ascii="Helvetica" w:eastAsia="WenQuanYi Zen Hei" w:hAnsi="Helvetica"/>
                <w:b/>
                <w:bCs/>
                <w:sz w:val="21"/>
                <w:szCs w:val="21"/>
              </w:rPr>
              <w:t xml:space="preserve">Parameter</w:t>
            </w:r>
          </w:p>
        </w:tc>
        <w:tc>
          <w:tcPr>
            <w:tcW w:type="dxa" w:w="2660"/>
            <w:shd w:fill="D9E2F3" w:val="clear"/>
            <w:tcMar>
              <w:top w:type="dxa" w:w="60"/>
              <w:left w:type="dxa" w:w="100"/>
              <w:bottom w:type="dxa" w:w="60"/>
              <w:right w:type="dxa" w:w="100"/>
            </w:tcMar>
          </w:tcPr>
          <w:p>
            <w:pPr>
              <w:spacing w:after="0"/>
            </w:pPr>
            <w:r>
              <w:rPr>
                <w:rFonts w:ascii="Helvetica" w:eastAsia="WenQuanYi Zen Hei" w:hAnsi="Helvetica"/>
                <w:b/>
                <w:bCs/>
                <w:sz w:val="21"/>
                <w:szCs w:val="21"/>
              </w:rPr>
              <w:t xml:space="preserve">Value</w:t>
            </w:r>
          </w:p>
        </w:tc>
      </w:tr>
      <w:tr>
        <w:tc>
          <w:tcPr>
            <w:tcW w:type="dxa" w:w="26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Signal</w:t>
            </w:r>
          </w:p>
        </w:tc>
        <w:tc>
          <w:tcPr>
            <w:tcW w:type="dxa" w:w="205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64 GBd 16QAM, RRC 0.1</w:t>
            </w:r>
          </w:p>
        </w:tc>
        <w:tc>
          <w:tcPr>
            <w:tcW w:type="dxa" w:w="205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Link</w:t>
            </w:r>
          </w:p>
        </w:tc>
        <w:tc>
          <w:tcPr>
            <w:tcW w:type="dxa" w:w="266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3 × 50 km SSMF</w:t>
            </w:r>
          </w:p>
        </w:tc>
      </w:tr>
      <w:tr>
        <w:tc>
          <w:tcPr>
            <w:tcW w:type="dxa" w:w="26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Loss / dispersion</w:t>
            </w:r>
          </w:p>
        </w:tc>
        <w:tc>
          <w:tcPr>
            <w:tcW w:type="dxa" w:w="205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0.2 dB/km, β₂ = −21.4 ps²/km</w:t>
            </w:r>
          </w:p>
        </w:tc>
        <w:tc>
          <w:tcPr>
            <w:tcW w:type="dxa" w:w="205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Nonlinear coeff.</w:t>
            </w:r>
          </w:p>
        </w:tc>
        <w:tc>
          <w:tcPr>
            <w:tcW w:type="dxa" w:w="266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γ = 1.3 W⁻¹km⁻¹</w:t>
            </w:r>
          </w:p>
        </w:tc>
      </w:tr>
      <w:tr>
        <w:tc>
          <w:tcPr>
            <w:tcW w:type="dxa" w:w="26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Launch power</w:t>
            </w:r>
          </w:p>
        </w:tc>
        <w:tc>
          <w:tcPr>
            <w:tcW w:type="dxa" w:w="205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6 dBm</w:t>
            </w:r>
          </w:p>
        </w:tc>
        <w:tc>
          <w:tcPr>
            <w:tcW w:type="dxa" w:w="205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Noise</w:t>
            </w:r>
          </w:p>
        </w:tc>
        <w:tc>
          <w:tcPr>
            <w:tcW w:type="dxa" w:w="266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EDFA ASE (NF 5 dB) + 18-dB Rx SNR</w:t>
            </w:r>
          </w:p>
        </w:tc>
      </w:tr>
      <w:tr>
        <w:tc>
          <w:tcPr>
            <w:tcW w:type="dxa" w:w="26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Per capture</w:t>
            </w:r>
          </w:p>
        </w:tc>
        <w:tc>
          <w:tcPr>
            <w:tcW w:type="dxa" w:w="205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81920 symbols</w:t>
            </w:r>
          </w:p>
        </w:tc>
        <w:tc>
          <w:tcPr>
            <w:tcW w:type="dxa" w:w="205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Propagation</w:t>
            </w:r>
          </w:p>
        </w:tc>
        <w:tc>
          <w:tcPr>
            <w:tcW w:type="dxa" w:w="266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Split-step Fourier, 100-m steps</w:t>
            </w:r>
          </w:p>
        </w:tc>
      </w:tr>
      <w:tr>
        <w:tc>
          <w:tcPr>
            <w:tcW w:type="dxa" w:w="26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PPE grid</w:t>
            </w:r>
          </w:p>
        </w:tc>
        <w:tc>
          <w:tcPr>
            <w:tcW w:type="dxa" w:w="205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Δz = 1 km (150 bins)</w:t>
            </w:r>
          </w:p>
        </w:tc>
        <w:tc>
          <w:tcPr>
            <w:tcW w:type="dxa" w:w="205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Refinement grid</w:t>
            </w:r>
          </w:p>
        </w:tc>
        <w:tc>
          <w:tcPr>
            <w:tcW w:type="dxa" w:w="266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100 m</w:t>
            </w:r>
          </w:p>
        </w:tc>
      </w:tr>
      <w:tr>
        <w:tc>
          <w:tcPr>
            <w:tcW w:type="dxa" w:w="26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Fault</w:t>
            </w:r>
          </w:p>
        </w:tc>
        <w:tc>
          <w:tcPr>
            <w:tcW w:type="dxa" w:w="205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3.0-dB lumped loss @ 72.35 km (off-grid)</w:t>
            </w:r>
          </w:p>
        </w:tc>
        <w:tc>
          <w:tcPr>
            <w:tcW w:type="dxa" w:w="205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Data</w:t>
            </w:r>
          </w:p>
        </w:tc>
        <w:tc>
          <w:tcPr>
            <w:tcW w:type="dxa" w:w="266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12-capture reference; 1 post-fault capture</w:t>
            </w:r>
          </w:p>
        </w:tc>
      </w:tr>
    </w:tbl>
    <w:p>
      <w:pPr>
        <w:spacing w:after="60"/>
      </w:pPr>
      <w:r>
        <w:rPr>
          <w:rFonts w:ascii="Helvetica" w:eastAsia="WenQuanYi Zen Hei" w:hAnsi="Helvetica"/>
          <w:sz w:val="21"/>
          <w:szCs w:val="21"/>
        </w:rPr>
        <w:t xml:space="preserve"/>
      </w:r>
    </w:p>
    <w:p>
      <w:pPr>
        <w:spacing w:after="120" w:line="300"/>
      </w:pPr>
      <w:r>
        <w:rPr>
          <w:rFonts w:ascii="Helvetica" w:eastAsia="WenQuanYi Zen Hei" w:hAnsi="Helvetica"/>
          <w:sz w:val="21"/>
          <w:szCs w:val="21"/>
        </w:rPr>
        <w:t xml:space="preserve">Three localization methods are compared: (a) naive baseline — subtract the single-capture post-fault LS profile from the reference and take the largest drop of the relative-change difference; (b) differential sparse (corrected generalized Lasso, 1-km grid); (c) matched-filter refinement of (b) on a 100-m grid. Four independent fault trials (different data and noise realizations).</w:t>
      </w:r>
    </w:p>
    <w:p>
      <w:r>
        <w:br w:type="page"/>
      </w:r>
    </w:p>
    <w:p>
      <w:pPr>
        <w:pStyle w:val="Heading1"/>
        <w:spacing w:after="140" w:before="280"/>
      </w:pPr>
      <w:r>
        <w:rPr>
          <w:rFonts w:ascii="Helvetica" w:eastAsia="WenQuanYi Zen Hei" w:hAnsi="Helvetica"/>
          <w:b/>
          <w:bCs/>
          <w:color w:val="1F4E79"/>
          <w:sz w:val="30"/>
          <w:szCs w:val="30"/>
        </w:rPr>
        <w:t xml:space="preserve">5. Simulation Results</w:t>
      </w:r>
    </w:p>
    <w:p>
      <w:pPr>
        <w:pStyle w:val="Heading2"/>
        <w:spacing w:after="110" w:before="220"/>
      </w:pPr>
      <w:r>
        <w:rPr>
          <w:rFonts w:ascii="Helvetica" w:eastAsia="WenQuanYi Zen Hei" w:hAnsi="Helvetica"/>
          <w:b/>
          <w:bCs/>
          <w:color w:val="2E74B5"/>
          <w:sz w:val="24"/>
          <w:szCs w:val="24"/>
        </w:rPr>
        <w:t xml:space="preserve">5.1 Reference profile (healthy link)</w:t>
      </w:r>
    </w:p>
    <w:p>
      <w:pPr>
        <w:spacing w:after="40" w:before="120"/>
        <w:jc w:val="center"/>
      </w:pPr>
      <w:r>
        <w:drawing>
          <wp:inline distT="0" distB="0" distL="0" distR="0">
            <wp:extent cx="5905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rFonts w:ascii="Helvetica" w:eastAsia="WenQuanYi Zen Hei" w:hAnsi="Helvetica"/>
          <w:color w:val="595959"/>
          <w:sz w:val="18"/>
          <w:szCs w:val="18"/>
        </w:rPr>
        <w:t xml:space="preserve">Fig. 1  Healthy-link power profile (81920 symbols per capture): single-capture LS-PPE (blue) is still noisy; the 12-capture average (red) serves as the reference and tracks the true three-span sawtooth closely, with only minor residual ripple in the low-power span tails.</w:t>
      </w:r>
    </w:p>
    <w:p>
      <w:pPr>
        <w:pStyle w:val="Heading2"/>
        <w:spacing w:after="110" w:before="220"/>
      </w:pPr>
      <w:r>
        <w:rPr>
          <w:rFonts w:ascii="Helvetica" w:eastAsia="WenQuanYi Zen Hei" w:hAnsi="Helvetica"/>
          <w:b/>
          <w:bCs/>
          <w:color w:val="2E74B5"/>
          <w:sz w:val="24"/>
          <w:szCs w:val="24"/>
        </w:rPr>
        <w:t xml:space="preserve">5.2 Differential sparse localization</w:t>
      </w:r>
    </w:p>
    <w:p>
      <w:pPr>
        <w:spacing w:after="40" w:before="120"/>
        <w:jc w:val="center"/>
      </w:pPr>
      <w:r>
        <w:drawing>
          <wp:inline distT="0" distB="0" distL="0" distR="0">
            <wp:extent cx="5905500" cy="459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4591050"/>
                    </a:xfrm>
                    <a:prstGeom prst="rect">
                      <a:avLst/>
                    </a:prstGeom>
                  </pic:spPr>
                </pic:pic>
              </a:graphicData>
            </a:graphic>
          </wp:inline>
        </w:drawing>
      </w:r>
    </w:p>
    <w:p>
      <w:pPr>
        <w:spacing w:after="160"/>
        <w:jc w:val="center"/>
      </w:pPr>
      <w:r>
        <w:rPr>
          <w:rFonts w:ascii="Helvetica" w:eastAsia="WenQuanYi Zen Hei" w:hAnsi="Helvetica"/>
          <w:color w:val="595959"/>
          <w:sz w:val="18"/>
          <w:szCs w:val="18"/>
        </w:rPr>
        <w:t xml:space="preserve">Fig. 2  3-dB lumped loss, single post-fault capture. Top: naive subtraction (blue) is buried in noise, while the differential sparse solution (red) is a clean step at the right position (amplitude shrunk by the Lasso; refit in Sec. 5.3). Bottom (twin axes — the two indicators differ by ~3 orders of magnitude): the naive jump indicator (blue, left axis, ±25) fluctuates along the whole link; the sparse jump indicator (red stem, right axis) is nonzero in only 1 of 149 bins, directly at the fault bin 72.5 km (true: 72.35 km — the 0.15-km error is half a grid cell).</w:t>
      </w:r>
    </w:p>
    <w:p>
      <w:pPr>
        <w:pStyle w:val="Heading2"/>
        <w:spacing w:after="110" w:before="220"/>
      </w:pPr>
      <w:r>
        <w:rPr>
          <w:rFonts w:ascii="Helvetica" w:eastAsia="WenQuanYi Zen Hei" w:hAnsi="Helvetica"/>
          <w:b/>
          <w:bCs/>
          <w:color w:val="2E74B5"/>
          <w:sz w:val="24"/>
          <w:szCs w:val="24"/>
        </w:rPr>
        <w:t xml:space="preserve">5.3 Matched-filter refinement and quantitative results</w:t>
      </w:r>
    </w:p>
    <w:p>
      <w:pPr>
        <w:spacing w:after="40" w:before="120"/>
        <w:jc w:val="center"/>
      </w:pPr>
      <w:r>
        <w:drawing>
          <wp:inline distT="0" distB="0" distL="0" distR="0">
            <wp:extent cx="59055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628900"/>
                    </a:xfrm>
                    <a:prstGeom prst="rect">
                      <a:avLst/>
                    </a:prstGeom>
                  </pic:spPr>
                </pic:pic>
              </a:graphicData>
            </a:graphic>
          </wp:inline>
        </w:drawing>
      </w:r>
    </w:p>
    <w:p>
      <w:pPr>
        <w:spacing w:after="160"/>
        <w:jc w:val="center"/>
      </w:pPr>
      <w:r>
        <w:rPr>
          <w:rFonts w:ascii="Helvetica" w:eastAsia="WenQuanYi Zen Hei" w:hAnsi="Helvetica"/>
          <w:color w:val="595959"/>
          <w:sz w:val="18"/>
          <w:szCs w:val="18"/>
        </w:rPr>
        <w:t xml:space="preserve">Fig. 3  Matched-filter correlation on the 100-m grid (trial 1): the correlation surface is nearly flat over several km — adjacent candidate signatures decorrelate only through chromatic dispersion, so the km-scale ambiguity is the bandwidth/dispersion physics limit reasserting itself.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900"/>
        <w:gridCol w:w="1900"/>
        <w:gridCol w:w="2860"/>
      </w:tblGrid>
      <w:tr>
        <w:tc>
          <w:tcPr>
            <w:tcW w:type="dxa" w:w="2700"/>
            <w:shd w:fill="D9E2F3" w:val="clear"/>
            <w:tcMar>
              <w:top w:type="dxa" w:w="60"/>
              <w:left w:type="dxa" w:w="100"/>
              <w:bottom w:type="dxa" w:w="60"/>
              <w:right w:type="dxa" w:w="100"/>
            </w:tcMar>
          </w:tcPr>
          <w:p>
            <w:pPr>
              <w:spacing w:after="0"/>
            </w:pPr>
            <w:r>
              <w:rPr>
                <w:rFonts w:ascii="Helvetica" w:eastAsia="WenQuanYi Zen Hei" w:hAnsi="Helvetica"/>
                <w:b/>
                <w:bCs/>
                <w:sz w:val="21"/>
                <w:szCs w:val="21"/>
              </w:rPr>
              <w:t xml:space="preserve">Localization method</w:t>
            </w:r>
          </w:p>
        </w:tc>
        <w:tc>
          <w:tcPr>
            <w:tcW w:type="dxa" w:w="1900"/>
            <w:shd w:fill="D9E2F3" w:val="clear"/>
            <w:tcMar>
              <w:top w:type="dxa" w:w="60"/>
              <w:left w:type="dxa" w:w="100"/>
              <w:bottom w:type="dxa" w:w="60"/>
              <w:right w:type="dxa" w:w="100"/>
            </w:tcMar>
          </w:tcPr>
          <w:p>
            <w:pPr>
              <w:spacing w:after="0"/>
            </w:pPr>
            <w:r>
              <w:rPr>
                <w:rFonts w:ascii="Helvetica" w:eastAsia="WenQuanYi Zen Hei" w:hAnsi="Helvetica"/>
                <w:b/>
                <w:bCs/>
                <w:sz w:val="21"/>
                <w:szCs w:val="21"/>
              </w:rPr>
              <w:t xml:space="preserve">Mean abs. error</w:t>
            </w:r>
          </w:p>
        </w:tc>
        <w:tc>
          <w:tcPr>
            <w:tcW w:type="dxa" w:w="1900"/>
            <w:shd w:fill="D9E2F3" w:val="clear"/>
            <w:tcMar>
              <w:top w:type="dxa" w:w="60"/>
              <w:left w:type="dxa" w:w="100"/>
              <w:bottom w:type="dxa" w:w="60"/>
              <w:right w:type="dxa" w:w="100"/>
            </w:tcMar>
          </w:tcPr>
          <w:p>
            <w:pPr>
              <w:spacing w:after="0"/>
            </w:pPr>
            <w:r>
              <w:rPr>
                <w:rFonts w:ascii="Helvetica" w:eastAsia="WenQuanYi Zen Hei" w:hAnsi="Helvetica"/>
                <w:b/>
                <w:bCs/>
                <w:sz w:val="21"/>
                <w:szCs w:val="21"/>
              </w:rPr>
              <w:t xml:space="preserve">Max abs. error</w:t>
            </w:r>
          </w:p>
        </w:tc>
        <w:tc>
          <w:tcPr>
            <w:tcW w:type="dxa" w:w="2860"/>
            <w:shd w:fill="D9E2F3" w:val="clear"/>
            <w:tcMar>
              <w:top w:type="dxa" w:w="60"/>
              <w:left w:type="dxa" w:w="100"/>
              <w:bottom w:type="dxa" w:w="60"/>
              <w:right w:type="dxa" w:w="100"/>
            </w:tcMar>
          </w:tcPr>
          <w:p>
            <w:pPr>
              <w:spacing w:after="0"/>
            </w:pPr>
            <w:r>
              <w:rPr>
                <w:rFonts w:ascii="Helvetica" w:eastAsia="WenQuanYi Zen Hei" w:hAnsi="Helvetica"/>
                <w:b/>
                <w:bCs/>
                <w:sz w:val="21"/>
                <w:szCs w:val="21"/>
              </w:rPr>
              <w:t xml:space="preserve">Notes</w:t>
            </w:r>
          </w:p>
        </w:tc>
      </w:tr>
      <w:tr>
        <w:tc>
          <w:tcPr>
            <w:tcW w:type="dxa" w:w="27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Naive profile subtraction (LS)</w:t>
            </w:r>
          </w:p>
        </w:tc>
        <w:tc>
          <w:tcPr>
            <w:tcW w:type="dxa" w:w="19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 24 km</w:t>
            </w:r>
          </w:p>
        </w:tc>
        <w:tc>
          <w:tcPr>
            <w:tcW w:type="dxa" w:w="19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27 km</w:t>
            </w:r>
          </w:p>
        </w:tc>
        <w:tc>
          <w:tcPr>
            <w:tcW w:type="dxa" w:w="286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Noise-dominated, unusable</w:t>
            </w:r>
          </w:p>
        </w:tc>
      </w:tr>
      <w:tr>
        <w:tc>
          <w:tcPr>
            <w:tcW w:type="dxa" w:w="27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Differential sparse (1-km grid)</w:t>
            </w:r>
          </w:p>
        </w:tc>
        <w:tc>
          <w:tcPr>
            <w:tcW w:type="dxa" w:w="19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0.15 km</w:t>
            </w:r>
          </w:p>
        </w:tc>
        <w:tc>
          <w:tcPr>
            <w:tcW w:type="dxa" w:w="19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0.15 km</w:t>
            </w:r>
          </w:p>
        </w:tc>
        <w:tc>
          <w:tcPr>
            <w:tcW w:type="dxa" w:w="286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Single nonzero jump at the fault bin (grid floor)</w:t>
            </w:r>
          </w:p>
        </w:tc>
      </w:tr>
      <w:tr>
        <w:tc>
          <w:tcPr>
            <w:tcW w:type="dxa" w:w="27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Matched-filter refinement (100-m grid)</w:t>
            </w:r>
          </w:p>
        </w:tc>
        <w:tc>
          <w:tcPr>
            <w:tcW w:type="dxa" w:w="19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0.75 km</w:t>
            </w:r>
          </w:p>
        </w:tc>
        <w:tc>
          <w:tcPr>
            <w:tcW w:type="dxa" w:w="19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0.85 km</w:t>
            </w:r>
          </w:p>
        </w:tc>
        <w:tc>
          <w:tcPr>
            <w:tcW w:type="dxa" w:w="286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Amplitude refit 2.67–2.68 dB (true 3.0 dB)</w:t>
            </w:r>
          </w:p>
        </w:tc>
      </w:tr>
    </w:tbl>
    <w:p>
      <w:pPr>
        <w:spacing w:after="60"/>
      </w:pPr>
      <w:r>
        <w:rPr>
          <w:rFonts w:ascii="Helvetica" w:eastAsia="WenQuanYi Zen Hei" w:hAnsi="Helvetica"/>
          <w:sz w:val="21"/>
          <w:szCs w:val="21"/>
        </w:rPr>
        <w:t xml:space="preserve"/>
      </w:r>
    </w:p>
    <w:p>
      <w:pPr>
        <w:spacing w:after="120" w:line="300"/>
      </w:pPr>
      <w:r>
        <w:rPr>
          <w:rFonts w:ascii="Helvetica" w:eastAsia="WenQuanYi Zen Hei" w:hAnsi="Helvetica"/>
          <w:sz w:val="21"/>
          <w:szCs w:val="21"/>
        </w:rPr>
        <w:t xml:space="preserve">In all four trials the differential sparse method places its single nonzero jump exactly at the fault bin (a consistent +0.15 km — the 1-km grid's resolution floor). The matched filter refines to 0.65–0.85 km but does not reach the hundred-metre scale: the correlation surface remains flat at kilometre scale (Fig. 3), confirming the dispersion × bandwidth² limit. The loss magnitude is recovered by the refit as 2.67–2.68 dB (true 3.0 dB).</w:t>
      </w:r>
    </w:p>
    <w:p>
      <w:pPr>
        <w:pStyle w:val="Heading2"/>
        <w:spacing w:after="110" w:before="220"/>
      </w:pPr>
      <w:r>
        <w:rPr>
          <w:rFonts w:ascii="Helvetica" w:eastAsia="WenQuanYi Zen Hei" w:hAnsi="Helvetica"/>
          <w:b/>
          <w:bCs/>
          <w:color w:val="2E74B5"/>
          <w:sz w:val="24"/>
          <w:szCs w:val="24"/>
        </w:rPr>
        <w:t xml:space="preserve">5.4 What sets the accuracy: layered decomposition and a perfect-reference control experiment</w:t>
      </w:r>
    </w:p>
    <w:p>
      <w:pPr>
        <w:spacing w:after="120" w:line="300"/>
      </w:pPr>
      <w:r>
        <w:rPr>
          <w:rFonts w:ascii="Helvetica" w:eastAsia="WenQuanYi Zen Hei" w:hAnsi="Helvetica"/>
          <w:sz w:val="21"/>
          <w:szCs w:val="21"/>
        </w:rPr>
        <w:t xml:space="preserve">The matched-filter error is confined to a narrow +650 to +850 m band across the four trials (identical in two of them), which shows the current accuracy is dominated by systematic bias, not random noise. Four layers determine localization accuracy, from smallest to largest: (1) grid quantization — the ±0.5-km floor of the 1-km sparse-stage grid, removable with a finer grid; (2) signature distinguishability — moving the candidate fault by δ changes the matched template only by the NLI generated inside that δ segment, and the only mechanism that distinguishes NLI from adjacent positions is the waveform reshaping that dispersion produces within δ, at a rate ∝ |β₂|·BW² (the same physics as Δz_min): kilometre-scale at 64 GBd, an insurmountable ceiling; (3) noise variance — ASE and transceiver noise jitter the correlation peak, converging as 1/√N with data volume, already pushed below a few hundred metres at 10× data; (4) systematic bias — the actual source of the current ~+750 m, isolated by the control experiment below.</w:t>
      </w:r>
    </w:p>
    <w:p>
      <w:pPr>
        <w:spacing w:after="120" w:line="300"/>
      </w:pPr>
      <w:r>
        <w:rPr>
          <w:rFonts w:ascii="Helvetica" w:eastAsia="WenQuanYi Zen Hei" w:hAnsi="Helvetica"/>
          <w:sz w:val="21"/>
          <w:szCs w:val="21"/>
        </w:rPr>
        <w:t xml:space="preserve">Perfect-reference control experiment (run in the 1-dB-loss configuration): on identical fault captures, only the reference profile is swapped among three cases — the estimated reference (12-capture LS mean, baseline), the perfect physical reference (analytic truth), and a scaled physical reference (truth × α, where α = 0.914 is the least-squares scale of the LS mean against the physical truth). Results over three independent trials (highly consistent within each case — systematic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60"/>
        <w:gridCol w:w="1750"/>
        <w:gridCol w:w="1900"/>
        <w:gridCol w:w="2650"/>
      </w:tblGrid>
      <w:tr>
        <w:tc>
          <w:tcPr>
            <w:tcW w:type="dxa" w:w="3060"/>
            <w:shd w:fill="D9E2F3" w:val="clear"/>
            <w:tcMar>
              <w:top w:type="dxa" w:w="60"/>
              <w:left w:type="dxa" w:w="100"/>
              <w:bottom w:type="dxa" w:w="60"/>
              <w:right w:type="dxa" w:w="100"/>
            </w:tcMar>
          </w:tcPr>
          <w:p>
            <w:pPr>
              <w:spacing w:after="0"/>
            </w:pPr>
            <w:r>
              <w:rPr>
                <w:rFonts w:ascii="Helvetica" w:eastAsia="WenQuanYi Zen Hei" w:hAnsi="Helvetica"/>
                <w:b/>
                <w:bCs/>
                <w:sz w:val="21"/>
                <w:szCs w:val="21"/>
              </w:rPr>
              <w:t xml:space="preserve">Reference profile</w:t>
            </w:r>
          </w:p>
        </w:tc>
        <w:tc>
          <w:tcPr>
            <w:tcW w:type="dxa" w:w="1750"/>
            <w:shd w:fill="D9E2F3" w:val="clear"/>
            <w:tcMar>
              <w:top w:type="dxa" w:w="60"/>
              <w:left w:type="dxa" w:w="100"/>
              <w:bottom w:type="dxa" w:w="60"/>
              <w:right w:type="dxa" w:w="100"/>
            </w:tcMar>
          </w:tcPr>
          <w:p>
            <w:pPr>
              <w:spacing w:after="0"/>
            </w:pPr>
            <w:r>
              <w:rPr>
                <w:rFonts w:ascii="Helvetica" w:eastAsia="WenQuanYi Zen Hei" w:hAnsi="Helvetica"/>
                <w:b/>
                <w:bCs/>
                <w:sz w:val="21"/>
                <w:szCs w:val="21"/>
              </w:rPr>
              <w:t xml:space="preserve">Sparse stage</w:t>
            </w:r>
          </w:p>
        </w:tc>
        <w:tc>
          <w:tcPr>
            <w:tcW w:type="dxa" w:w="1900"/>
            <w:shd w:fill="D9E2F3" w:val="clear"/>
            <w:tcMar>
              <w:top w:type="dxa" w:w="60"/>
              <w:left w:type="dxa" w:w="100"/>
              <w:bottom w:type="dxa" w:w="60"/>
              <w:right w:type="dxa" w:w="100"/>
            </w:tcMar>
          </w:tcPr>
          <w:p>
            <w:pPr>
              <w:spacing w:after="0"/>
            </w:pPr>
            <w:r>
              <w:rPr>
                <w:rFonts w:ascii="Helvetica" w:eastAsia="WenQuanYi Zen Hei" w:hAnsi="Helvetica"/>
                <w:b/>
                <w:bCs/>
                <w:sz w:val="21"/>
                <w:szCs w:val="21"/>
              </w:rPr>
              <w:t xml:space="preserve">Matched filter</w:t>
            </w:r>
          </w:p>
        </w:tc>
        <w:tc>
          <w:tcPr>
            <w:tcW w:type="dxa" w:w="2650"/>
            <w:shd w:fill="D9E2F3" w:val="clear"/>
            <w:tcMar>
              <w:top w:type="dxa" w:w="60"/>
              <w:left w:type="dxa" w:w="100"/>
              <w:bottom w:type="dxa" w:w="60"/>
              <w:right w:type="dxa" w:w="100"/>
            </w:tcMar>
          </w:tcPr>
          <w:p>
            <w:pPr>
              <w:spacing w:after="0"/>
            </w:pPr>
            <w:r>
              <w:rPr>
                <w:rFonts w:ascii="Helvetica" w:eastAsia="WenQuanYi Zen Hei" w:hAnsi="Helvetica"/>
                <w:b/>
                <w:bCs/>
                <w:sz w:val="21"/>
                <w:szCs w:val="21"/>
              </w:rPr>
              <w:t xml:space="preserve">Loss estimate (true 1.0 dB)</w:t>
            </w:r>
          </w:p>
        </w:tc>
      </w:tr>
      <w:tr>
        <w:tc>
          <w:tcPr>
            <w:tcW w:type="dxa" w:w="306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Estimated (12-capture LS mean, baseline)</w:t>
            </w:r>
          </w:p>
        </w:tc>
        <w:tc>
          <w:tcPr>
            <w:tcW w:type="dxa" w:w="175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+0.15 km</w:t>
            </w:r>
          </w:p>
        </w:tc>
        <w:tc>
          <w:tcPr>
            <w:tcW w:type="dxa" w:w="19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+550 m</w:t>
            </w:r>
          </w:p>
        </w:tc>
        <w:tc>
          <w:tcPr>
            <w:tcW w:type="dxa" w:w="265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0.88 dB</w:t>
            </w:r>
          </w:p>
        </w:tc>
      </w:tr>
      <w:tr>
        <w:tc>
          <w:tcPr>
            <w:tcW w:type="dxa" w:w="306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Perfect physical (analytic truth)</w:t>
            </w:r>
          </w:p>
        </w:tc>
        <w:tc>
          <w:tcPr>
            <w:tcW w:type="dxa" w:w="175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+0.15 km</w:t>
            </w:r>
          </w:p>
        </w:tc>
        <w:tc>
          <w:tcPr>
            <w:tcW w:type="dxa" w:w="19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−2850 m</w:t>
            </w:r>
          </w:p>
        </w:tc>
        <w:tc>
          <w:tcPr>
            <w:tcW w:type="dxa" w:w="265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1.59 dB</w:t>
            </w:r>
          </w:p>
        </w:tc>
      </w:tr>
      <w:tr>
        <w:tc>
          <w:tcPr>
            <w:tcW w:type="dxa" w:w="306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Scaled physical (× 0.914)</w:t>
            </w:r>
          </w:p>
        </w:tc>
        <w:tc>
          <w:tcPr>
            <w:tcW w:type="dxa" w:w="175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+0.15 to +2.15 km</w:t>
            </w:r>
          </w:p>
        </w:tc>
        <w:tc>
          <w:tcPr>
            <w:tcW w:type="dxa" w:w="19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+3150 to +4950 m</w:t>
            </w:r>
          </w:p>
        </w:tc>
        <w:tc>
          <w:tcPr>
            <w:tcW w:type="dxa" w:w="265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0.70 dB</w:t>
            </w:r>
          </w:p>
        </w:tc>
      </w:tr>
    </w:tbl>
    <w:p>
      <w:pPr>
        <w:spacing w:after="60"/>
      </w:pPr>
      <w:r>
        <w:rPr>
          <w:rFonts w:ascii="Helvetica" w:eastAsia="WenQuanYi Zen Hei" w:hAnsi="Helvetica"/>
          <w:sz w:val="21"/>
          <w:szCs w:val="21"/>
        </w:rPr>
        <w:t xml:space="preserve"/>
      </w:r>
    </w:p>
    <w:p>
      <w:pPr>
        <w:spacing w:after="120" w:line="300"/>
      </w:pPr>
      <w:r>
        <w:rPr>
          <w:rFonts w:ascii="Helvetica" w:eastAsia="WenQuanYi Zen Hei" w:hAnsi="Helvetica"/>
          <w:sz w:val="21"/>
          <w:szCs w:val="21"/>
        </w:rPr>
        <w:t xml:space="preserve">The result is counter-intuitive but mechanistically clear: the perfect physical reference makes the matched-filter error about 5× worse. The healthy-link component of the measurement is G·x_physical + the RP1 model error (the higher-order terms dropped by the first-order perturbation approximation, ≈ 9% in this setting — directly measured by the scale factor α = 0.914: the LS profile sits systematically ~9% low because it absorbs the model error into itself). With the estimated reference, that model bias is present in both the reference and the fault measurement and cancels in the subtraction; the physical-truth reference leaves the full model error in the residual, whose structured component drags the correlation peak by −2.85 km and inflates the loss estimate to 1.59 dB.</w:t>
      </w:r>
    </w:p>
    <w:p>
      <w:pPr>
        <w:spacing w:after="120" w:line="300"/>
      </w:pPr>
      <w:r>
        <w:rPr>
          <w:rFonts w:ascii="Helvetica" w:eastAsia="WenQuanYi Zen Hei" w:hAnsi="Helvetica"/>
          <w:sz w:val="21"/>
          <w:szCs w:val="21"/>
        </w:rPr>
        <w:t xml:space="preserve">This exposes an intrinsic strength of the differential scheme: the value of the reference lies not in physical accuracy but in sharing the same systematic errors as the fault measurement — same transceiver, same model, same DSP chain, so all common biases cancel in the subtraction (a generalization of the earlier observation that pre-existing link losses cancel, extended to the estimator's own bias). Accordingly, the residual +550 m stems mainly from the second-order residual created by the fault itself altering the downstream nonlinear-phase accumulation (so the model bias is no longer identical before and after the fault), plus a ~50-m contribution from the fine-grid half-bin convention. The 3-dB main experiment corroborates this attribution: the residual bias grows from +550 m (1 dB) to +650–850 m and the loss underestimate from 0.12 dB to ~0.32 dB — the larger the fault, the larger the non-cancelling second-order mismatch between pre- and post-fault model bias. The right lever for further improvement is a lower nonlinear operating point (trading launch power for data volume) or a higher-order perturbation / local SSFM inversion model — not a better reference — and everything remains under the kilometre-scale ceiling of layer (2).</w:t>
      </w:r>
    </w:p>
    <w:p>
      <w:pPr>
        <w:pStyle w:val="Heading1"/>
        <w:spacing w:after="140" w:before="280"/>
      </w:pPr>
      <w:r>
        <w:rPr>
          <w:rFonts w:ascii="Helvetica" w:eastAsia="WenQuanYi Zen Hei" w:hAnsi="Helvetica"/>
          <w:b/>
          <w:bCs/>
          <w:color w:val="1F4E79"/>
          <w:sz w:val="30"/>
          <w:szCs w:val="30"/>
        </w:rPr>
        <w:t xml:space="preserve">6. Verdict on the Original Claims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1500"/>
        <w:gridCol w:w="3960"/>
      </w:tblGrid>
      <w:tr>
        <w:tc>
          <w:tcPr>
            <w:tcW w:type="dxa" w:w="3900"/>
            <w:shd w:fill="D9E2F3" w:val="clear"/>
            <w:tcMar>
              <w:top w:type="dxa" w:w="60"/>
              <w:left w:type="dxa" w:w="100"/>
              <w:bottom w:type="dxa" w:w="60"/>
              <w:right w:type="dxa" w:w="100"/>
            </w:tcMar>
          </w:tcPr>
          <w:p>
            <w:pPr>
              <w:spacing w:after="0"/>
            </w:pPr>
            <w:r>
              <w:rPr>
                <w:rFonts w:ascii="Helvetica" w:eastAsia="WenQuanYi Zen Hei" w:hAnsi="Helvetica"/>
                <w:b/>
                <w:bCs/>
                <w:sz w:val="21"/>
                <w:szCs w:val="21"/>
              </w:rPr>
              <w:t xml:space="preserve">Claim</w:t>
            </w:r>
          </w:p>
        </w:tc>
        <w:tc>
          <w:tcPr>
            <w:tcW w:type="dxa" w:w="1500"/>
            <w:shd w:fill="D9E2F3" w:val="clear"/>
            <w:tcMar>
              <w:top w:type="dxa" w:w="60"/>
              <w:left w:type="dxa" w:w="100"/>
              <w:bottom w:type="dxa" w:w="60"/>
              <w:right w:type="dxa" w:w="100"/>
            </w:tcMar>
          </w:tcPr>
          <w:p>
            <w:pPr>
              <w:spacing w:after="0"/>
            </w:pPr>
            <w:r>
              <w:rPr>
                <w:rFonts w:ascii="Helvetica" w:eastAsia="WenQuanYi Zen Hei" w:hAnsi="Helvetica"/>
                <w:b/>
                <w:bCs/>
                <w:sz w:val="21"/>
                <w:szCs w:val="21"/>
              </w:rPr>
              <w:t xml:space="preserve">Verdict</w:t>
            </w:r>
          </w:p>
        </w:tc>
        <w:tc>
          <w:tcPr>
            <w:tcW w:type="dxa" w:w="3960"/>
            <w:shd w:fill="D9E2F3" w:val="clear"/>
            <w:tcMar>
              <w:top w:type="dxa" w:w="60"/>
              <w:left w:type="dxa" w:w="100"/>
              <w:bottom w:type="dxa" w:w="60"/>
              <w:right w:type="dxa" w:w="100"/>
            </w:tcMar>
          </w:tcPr>
          <w:p>
            <w:pPr>
              <w:spacing w:after="0"/>
            </w:pPr>
            <w:r>
              <w:rPr>
                <w:rFonts w:ascii="Helvetica" w:eastAsia="WenQuanYi Zen Hei" w:hAnsi="Helvetica"/>
                <w:b/>
                <w:bCs/>
                <w:sz w:val="21"/>
                <w:szCs w:val="21"/>
              </w:rPr>
              <w:t xml:space="preserve">Basis</w:t>
            </w:r>
          </w:p>
        </w:tc>
      </w:tr>
      <w:tr>
        <w:tc>
          <w:tcPr>
            <w:tcW w:type="dxa" w:w="39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Δz_min is set by dispersion and bandwidth²</w:t>
            </w:r>
          </w:p>
        </w:tc>
        <w:tc>
          <w:tcPr>
            <w:tcW w:type="dxa" w:w="15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Correct</w:t>
            </w:r>
          </w:p>
        </w:tc>
        <w:tc>
          <w:tcPr>
            <w:tcW w:type="dxa" w:w="396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Consistent with Sasai's ill-posedness analysis; also seen in the flat correlation surface</w:t>
            </w:r>
          </w:p>
        </w:tc>
      </w:tr>
      <w:tr>
        <w:tc>
          <w:tcPr>
            <w:tcW w:type="dxa" w:w="39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Differential + sparsity prior greatly improves localization</w:t>
            </w:r>
          </w:p>
        </w:tc>
        <w:tc>
          <w:tcPr>
            <w:tcW w:type="dxa" w:w="15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Correct</w:t>
            </w:r>
          </w:p>
        </w:tc>
        <w:tc>
          <w:tcPr>
            <w:tcW w:type="dxa" w:w="396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Tens of km → ≈ 1 km, one to two orders of magnitude</w:t>
            </w:r>
          </w:p>
        </w:tc>
      </w:tr>
      <w:tr>
        <w:tc>
          <w:tcPr>
            <w:tcW w:type="dxa" w:w="39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Pre-existing loss events cancel in the differential; only a small shadowing term remains</w:t>
            </w:r>
          </w:p>
        </w:tc>
        <w:tc>
          <w:tcPr>
            <w:tcW w:type="dxa" w:w="15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Correct</w:t>
            </w:r>
          </w:p>
        </w:tc>
        <w:tc>
          <w:tcPr>
            <w:tcW w:type="dxa" w:w="396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Follows directly from model linearity</w:t>
            </w:r>
          </w:p>
        </w:tc>
      </w:tr>
      <w:tr>
        <w:tc>
          <w:tcPr>
            <w:tcW w:type="dxa" w:w="39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Subtract measurements directly: Δy = y_ref − y_fault</w:t>
            </w:r>
          </w:p>
        </w:tc>
        <w:tc>
          <w:tcPr>
            <w:tcW w:type="dxa" w:w="15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Needs correction</w:t>
            </w:r>
          </w:p>
        </w:tc>
        <w:tc>
          <w:tcPr>
            <w:tcW w:type="dxa" w:w="396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Different captures carry different symbols; use r = y_fault − G·x_ref</w:t>
            </w:r>
          </w:p>
        </w:tc>
      </w:tr>
      <w:tr>
        <w:tc>
          <w:tcPr>
            <w:tcW w:type="dxa" w:w="39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Plain first difference of Δx as the sparsity basis</w:t>
            </w:r>
          </w:p>
        </w:tc>
        <w:tc>
          <w:tcPr>
            <w:tcW w:type="dxa" w:w="15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Needs correction</w:t>
            </w:r>
          </w:p>
        </w:tc>
        <w:tc>
          <w:tcPr>
            <w:tcW w:type="dxa" w:w="396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Apply TV in the relative domain u = Δx/x_ref (attenuation-weighted)</w:t>
            </w:r>
          </w:p>
        </w:tc>
      </w:tr>
      <w:tr>
        <w:tc>
          <w:tcPr>
            <w:tcW w:type="dxa" w:w="39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50–200 m accuracy, purely noise-limited</w:t>
            </w:r>
          </w:p>
        </w:tc>
        <w:tc>
          <w:tcPr>
            <w:tcW w:type="dxa" w:w="15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Over-optimistic</w:t>
            </w:r>
          </w:p>
        </w:tc>
        <w:tc>
          <w:tcPr>
            <w:tcW w:type="dxa" w:w="396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The physics limit remains; 0.55–0.95 km (1 dB) / 0.65–0.85 km (3 dB) here even with abundant data; literature (NTT +3 km, Fujitsu &lt;4 km, CICT 1 km) is km-scale</w:t>
            </w:r>
          </w:p>
        </w:tc>
      </w:tr>
    </w:tbl>
    <w:p>
      <w:pPr>
        <w:spacing w:after="60"/>
      </w:pPr>
      <w:r>
        <w:rPr>
          <w:rFonts w:ascii="Helvetica" w:eastAsia="WenQuanYi Zen Hei" w:hAnsi="Helvetica"/>
          <w:sz w:val="21"/>
          <w:szCs w:val="21"/>
        </w:rPr>
        <w:t xml:space="preserve"/>
      </w:r>
    </w:p>
    <w:p>
      <w:pPr>
        <w:spacing w:after="120" w:line="300"/>
      </w:pPr>
      <w:r>
        <w:rPr>
          <w:rFonts w:ascii="Helvetica" w:eastAsia="WenQuanYi Zen Hei" w:hAnsi="Helvetica"/>
          <w:sz w:val="21"/>
          <w:szCs w:val="21"/>
        </w:rPr>
        <w:t xml:space="preserve">Overall conclusion: differential sparse PPE is a correct and worthwhile engineering approach. Its gain comes from degrading the full-profile reconstruction problem into a single-parameter (step-position) detection problem, thereby exploiting the information of every bin downstream of the fault. Its accuracy ceiling, however, is still bounded by the dispersion × bandwidth² resolution physics: at 64–100 GBd, sub-kilometre (~0.5–1 km) with abundant data — not hundreds of metres — is the realistic ceiling. The control experiment (Sec. 5.4) further shows the reference need not be physically accurate: an estimated reference that shares the measurement's systematic errors significantly outperforms a perfect physical one, because the differential structure cancels common model bias automatically.</w:t>
      </w:r>
    </w:p>
    <w:p>
      <w:pPr>
        <w:pStyle w:val="Heading1"/>
        <w:spacing w:after="140" w:before="280"/>
      </w:pPr>
      <w:r>
        <w:rPr>
          <w:rFonts w:ascii="Helvetica" w:eastAsia="WenQuanYi Zen Hei" w:hAnsi="Helvetica"/>
          <w:b/>
          <w:bCs/>
          <w:color w:val="1F4E79"/>
          <w:sz w:val="30"/>
          <w:szCs w:val="30"/>
        </w:rPr>
        <w:t xml:space="preserve">7. Reproduction Code and References</w:t>
      </w:r>
    </w:p>
    <w:p>
      <w:pPr>
        <w:spacing w:after="120" w:line="300"/>
      </w:pPr>
      <w:r>
        <w:rPr>
          <w:rFonts w:ascii="Helvetica" w:eastAsia="WenQuanYi Zen Hei" w:hAnsi="Helvetica"/>
          <w:sz w:val="21"/>
          <w:szCs w:val="21"/>
        </w:rPr>
        <w:t xml:space="preserve">Code lives in repo longrain153/PPE2 (branch claude/ppe-localization-accuracy-9tirgk): ppe/link_sim.py (split-step link simulator), ppe/ppe_core.py (G matrix, LS-PPE, ADMM generalized Lasso, matched filter), run_experiment.py (end-to-end experiment, ~40 min at 81920 symbols/capture), experiments/exp_perfect_ref.py (the Sec. 5.4 perfect-reference control experiment).</w:t>
      </w:r>
    </w:p>
    <w:p>
      <w:pPr>
        <w:pStyle w:val="ListParagraph"/>
        <w:numPr>
          <w:ilvl w:val="0"/>
          <w:numId w:val="2"/>
        </w:numPr>
        <w:spacing w:after="80" w:line="300"/>
      </w:pPr>
      <w:r>
        <w:rPr>
          <w:rFonts w:ascii="Helvetica" w:eastAsia="WenQuanYi Zen Hei" w:hAnsi="Helvetica"/>
          <w:sz w:val="21"/>
          <w:szCs w:val="21"/>
        </w:rPr>
        <w:t xml:space="preserve">T. Sasai et al., “Linear Least Squares Estimation of Fiber-Longitudinal Optical Power Profile,” J. Lightwave Technol., vol. 42, no. 6, 2023.</w:t>
      </w:r>
    </w:p>
    <w:p>
      <w:pPr>
        <w:pStyle w:val="ListParagraph"/>
        <w:numPr>
          <w:ilvl w:val="0"/>
          <w:numId w:val="2"/>
        </w:numPr>
        <w:spacing w:after="80" w:line="300"/>
      </w:pPr>
      <w:r>
        <w:rPr>
          <w:rFonts w:ascii="Helvetica" w:eastAsia="WenQuanYi Zen Hei" w:hAnsi="Helvetica"/>
          <w:sz w:val="21"/>
          <w:szCs w:val="21"/>
        </w:rPr>
        <w:t xml:space="preserve">R. Shinzaki et al. (Fujitsu), “Sparse Modeling Analysis for Efficient Localization of Power Anomalies in Transmission Links,” OECC 2024.</w:t>
      </w:r>
    </w:p>
    <w:p>
      <w:pPr>
        <w:pStyle w:val="ListParagraph"/>
        <w:numPr>
          <w:ilvl w:val="0"/>
          <w:numId w:val="2"/>
        </w:numPr>
        <w:spacing w:after="80" w:line="300"/>
      </w:pPr>
      <w:r>
        <w:rPr>
          <w:rFonts w:ascii="Helvetica" w:eastAsia="WenQuanYi Zen Hei" w:hAnsi="Helvetica"/>
          <w:sz w:val="21"/>
          <w:szCs w:val="21"/>
        </w:rPr>
        <w:t xml:space="preserve">H. Ishihara et al. (NTT), “Robust Fibre Longitudinal Power Monitoring with Few Measurements using Two-stage Sparse Regularization,” ECOC 2025, W.01.06.4.</w:t>
      </w:r>
    </w:p>
    <w:p>
      <w:pPr>
        <w:pStyle w:val="ListParagraph"/>
        <w:numPr>
          <w:ilvl w:val="0"/>
          <w:numId w:val="2"/>
        </w:numPr>
        <w:spacing w:after="80" w:line="300"/>
      </w:pPr>
      <w:r>
        <w:rPr>
          <w:rFonts w:ascii="Helvetica" w:eastAsia="WenQuanYi Zen Hei" w:hAnsi="Helvetica"/>
          <w:sz w:val="21"/>
          <w:szCs w:val="21"/>
        </w:rPr>
        <w:t xml:space="preserve">Y. Zuo et al. (CICT), “High-fidelity fiber longitudinal power monitoring via non-uniform sparse regularization,” Opt. Express, vol. 34, no. 10, 2026.</w:t>
      </w:r>
    </w:p>
    <w:sectPr>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eastAsia="WenQuanYi Zen Hei" w:hAnsi="Helvetic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31240851a2d87866a0aceed3a582ebfb2473164.png"/><Relationship Id="rId8" Type="http://schemas.openxmlformats.org/officeDocument/2006/relationships/image" Target="media/b2de33a26a3af37dd5d4600c0c50fafc500d5480.png"/><Relationship Id="rId9" Type="http://schemas.openxmlformats.org/officeDocument/2006/relationships/image" Target="media/b9ee6b8d15dce2c9e4245ca7367814db16b757a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2026-08-11T14:04:39.582Z</dcterms:created>
  <dcterms:modified xsi:type="dcterms:W3CDTF">2026-08-11T14:04:39.582Z</dcterms:modified>
</cp:coreProperties>
</file>

<file path=docProps/custom.xml><?xml version="1.0" encoding="utf-8"?>
<Properties xmlns="http://schemas.openxmlformats.org/officeDocument/2006/custom-properties" xmlns:vt="http://schemas.openxmlformats.org/officeDocument/2006/docPropsVTypes"/>
</file>