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Helvetica" w:eastAsia="WenQuanYi Zen Hei" w:hAnsi="Helvetica"/>
          <w:b/>
          <w:bCs/>
          <w:sz w:val="36"/>
          <w:szCs w:val="36"/>
        </w:rPr>
        <w:t xml:space="preserve">Differential Sparse Regularization for Longitudinal Power Anomaly Localization</w:t>
      </w:r>
    </w:p>
    <w:p>
      <w:pPr>
        <w:spacing w:after="60"/>
        <w:jc w:val="center"/>
      </w:pPr>
      <w:r>
        <w:rPr>
          <w:rFonts w:ascii="Helvetica" w:eastAsia="WenQuanYi Zen Hei" w:hAnsi="Helvetica"/>
          <w:color w:val="595959"/>
          <w:sz w:val="24"/>
          <w:szCs w:val="24"/>
        </w:rPr>
        <w:t xml:space="preserve">Scheme Assessment and Simulation Reproduction Report — from Theory to Simulation Results</w:t>
      </w:r>
    </w:p>
    <w:p>
      <w:pPr>
        <w:spacing w:after="240"/>
        <w:jc w:val="center"/>
      </w:pPr>
      <w:r>
        <w:rPr>
          <w:rFonts w:ascii="Helvetica" w:eastAsia="WenQuanYi Zen Hei" w:hAnsi="Helvetica"/>
          <w:color w:val="808080"/>
          <w:sz w:val="18"/>
          <w:szCs w:val="18"/>
        </w:rPr>
        <w:t xml:space="preserve">August 10, 2026 · repo longrain153/PPE2 · branch claude/ppe-localization-accuracy-9tirgk</w:t>
      </w:r>
    </w:p>
    <w:p>
      <w:pPr>
        <w:pStyle w:val="Heading1"/>
        <w:spacing w:after="140" w:before="280"/>
      </w:pPr>
      <w:r>
        <w:rPr>
          <w:rFonts w:ascii="Helvetica" w:eastAsia="WenQuanYi Zen Hei" w:hAnsi="Helvetica"/>
          <w:b/>
          <w:bCs/>
          <w:color w:val="1F4E79"/>
          <w:sz w:val="30"/>
          <w:szCs w:val="30"/>
        </w:rPr>
        <w:t xml:space="preserve">1. Executive Summary</w:t>
      </w:r>
    </w:p>
    <w:p>
      <w:pPr>
        <w:spacing w:after="120" w:line="300"/>
      </w:pPr>
      <w:r>
        <w:rPr>
          <w:rFonts w:ascii="Helvetica" w:eastAsia="WenQuanYi Zen Hei" w:hAnsi="Helvetica"/>
          <w:sz w:val="21"/>
          <w:szCs w:val="21"/>
        </w:rPr>
        <w:t xml:space="preserve">This report assesses a "differential sparse PPE" scheme intended to improve fault-localization accuracy in fiber-longitudinal power profile estimation (PPE / Longitudinal Power Monitoring, LPM): build a low-noise reference profile from abundant pre-fault data, then, after the fault, solve only for the change relative to that reference under a step-sparsity prior (generalized Lasso / total-variation regularization). Theory and numerical simulation show the core idea is sound and is essentially the approach published by Fujitsu (OECC 2024) and NTT (ECOC 2025). Under 64 GBd, 3 × 50 km, a 1-dB lumped loss, and a single post-fault capture, localization error improves from tens of kilometres (naive profile subtraction) to 0.15 km — the resolution floor of the 1-km estimation grid — with 100-m matched-filter refinement at 0.55–0.95 km: roughly two orders of magnitude. However, two formulation details in the original proposal require correction, and the claimed "50–200 m, purely noise-limited" accuracy remains over-optimistic: the spatial-resolution physics set by chromatic dispersion × bandwidth² still applies, and even with abundant data, sub-kilometre (~0.5–1 km) is the realistic expectation in this regime, consistent with experimental literature.</w:t>
      </w:r>
    </w:p>
    <w:p>
      <w:pPr>
        <w:pStyle w:val="Heading1"/>
        <w:spacing w:after="140" w:before="280"/>
      </w:pPr>
      <w:r>
        <w:rPr>
          <w:rFonts w:ascii="Helvetica" w:eastAsia="WenQuanYi Zen Hei" w:hAnsi="Helvetica"/>
          <w:b/>
          <w:bCs/>
          <w:color w:val="1F4E79"/>
          <w:sz w:val="30"/>
          <w:szCs w:val="30"/>
        </w:rPr>
        <w:t xml:space="preserve">2. Background and Problem</w:t>
      </w:r>
    </w:p>
    <w:p>
      <w:pPr>
        <w:spacing w:after="120" w:line="300"/>
      </w:pPr>
      <w:r>
        <w:rPr>
          <w:rFonts w:ascii="Helvetica" w:eastAsia="WenQuanYi Zen Hei" w:hAnsi="Helvetica"/>
          <w:sz w:val="21"/>
          <w:szCs w:val="21"/>
        </w:rPr>
        <w:t xml:space="preserve">PPE/LPM inverts the Kerr nonlinearity imprinted on the received signal to reconstruct the power distribution along a link using receiver-side DSP only — no OTDR or dedicated hardware. It can monitor amplifier gains, span losses, and anomalous loss events (degraded splices, cable stress). The core challenge is that under practical low-power, limited-data conditions the estimate is noisy and spatially resolution-limited, making small lumped losses hard to pinpoint.</w:t>
      </w:r>
    </w:p>
    <w:p>
      <w:pPr>
        <w:spacing w:after="120" w:line="300"/>
      </w:pPr>
      <w:r>
        <w:rPr>
          <w:rFonts w:ascii="Helvetica" w:eastAsia="WenQuanYi Zen Hei" w:hAnsi="Helvetica"/>
          <w:sz w:val="21"/>
          <w:szCs w:val="21"/>
        </w:rPr>
        <w:t xml:space="preserve">The operational scenario considered here: before the fault there is ample time to collect data and form a reference; after the fault, data are limited, and a single dominant loss event must be localized as accurately as possible.</w:t>
      </w:r>
    </w:p>
    <w:p>
      <w:pPr>
        <w:pStyle w:val="Heading1"/>
        <w:spacing w:after="140" w:before="280"/>
      </w:pPr>
      <w:r>
        <w:rPr>
          <w:rFonts w:ascii="Helvetica" w:eastAsia="WenQuanYi Zen Hei" w:hAnsi="Helvetica"/>
          <w:b/>
          <w:bCs/>
          <w:color w:val="1F4E79"/>
          <w:sz w:val="30"/>
          <w:szCs w:val="30"/>
        </w:rPr>
        <w:t xml:space="preserve">3. Theory</w:t>
      </w:r>
    </w:p>
    <w:p>
      <w:pPr>
        <w:pStyle w:val="Heading2"/>
        <w:spacing w:after="110" w:before="220"/>
      </w:pPr>
      <w:r>
        <w:rPr>
          <w:rFonts w:ascii="Helvetica" w:eastAsia="WenQuanYi Zen Hei" w:hAnsi="Helvetica"/>
          <w:b/>
          <w:bCs/>
          <w:color w:val="2E74B5"/>
          <w:sz w:val="24"/>
          <w:szCs w:val="24"/>
        </w:rPr>
        <w:t xml:space="preserve">3.1 The LS-PPE linear model (RP1)</w:t>
      </w:r>
    </w:p>
    <w:p>
      <w:pPr>
        <w:spacing w:after="120" w:line="300"/>
      </w:pPr>
      <w:r>
        <w:rPr>
          <w:rFonts w:ascii="Helvetica" w:eastAsia="WenQuanYi Zen Hei" w:hAnsi="Helvetica"/>
          <w:sz w:val="21"/>
          <w:szCs w:val="21"/>
        </w:rPr>
        <w:t xml:space="preserve">Under the first-order regular perturbation (RP1) approximation, the nonlinear perturbation of the received signal is linear in the "generalized nonlinear coefficient" γ′(z) = γ·P(z). Discretizing the link into M spatial bins gives the matrix form:</w:t>
      </w:r>
    </w:p>
    <w:p>
      <w:pPr>
        <w:spacing w:after="120" w:before="60"/>
        <w:jc w:val="center"/>
      </w:pPr>
      <w:r>
        <w:rPr>
          <w:rFonts w:ascii="Times New Roman" w:eastAsia="WenQuanYi Zen Hei" w:hAnsi="Times New Roman"/>
          <w:i/>
          <w:iCs/>
          <w:sz w:val="22"/>
          <w:szCs w:val="22"/>
        </w:rPr>
        <w:t xml:space="preserve">A₁ ≈ G·γ′,  gₖ = D(−zₖ)[ j·|uₖ|²uₖ ],  uₖ = D(zₖ)·u₀</w:t>
      </w:r>
    </w:p>
    <w:p>
      <w:pPr>
        <w:spacing w:after="120" w:line="300"/>
      </w:pPr>
      <w:r>
        <w:rPr>
          <w:rFonts w:ascii="Helvetica" w:eastAsia="WenQuanYi Zen Hei" w:hAnsi="Helvetica"/>
          <w:sz w:val="21"/>
          <w:szCs w:val="21"/>
        </w:rPr>
        <w:t xml:space="preserve">where D(z) is the dispersion operator and u₀ the known transmitted waveform. Each column gₖ is the receiver-side "fingerprint" of nonlinearity generated at position zₖ. The least-squares solution (LS-PPE, Sasai et al., JLT 2023) is:</w:t>
      </w:r>
    </w:p>
    <w:p>
      <w:pPr>
        <w:spacing w:after="120" w:before="60"/>
        <w:jc w:val="center"/>
      </w:pPr>
      <w:r>
        <w:rPr>
          <w:rFonts w:ascii="Times New Roman" w:eastAsia="WenQuanYi Zen Hei" w:hAnsi="Times New Roman"/>
          <w:i/>
          <w:iCs/>
          <w:sz w:val="22"/>
          <w:szCs w:val="22"/>
        </w:rPr>
        <w:t xml:space="preserve">γ̂′ = ( Re[G†G] )⁻¹ Re[G†A₁]</w:t>
      </w:r>
    </w:p>
    <w:p>
      <w:pPr>
        <w:pStyle w:val="Heading2"/>
        <w:spacing w:after="110" w:before="220"/>
      </w:pPr>
      <w:r>
        <w:rPr>
          <w:rFonts w:ascii="Helvetica" w:eastAsia="WenQuanYi Zen Hei" w:hAnsi="Helvetica"/>
          <w:b/>
          <w:bCs/>
          <w:color w:val="2E74B5"/>
          <w:sz w:val="24"/>
          <w:szCs w:val="24"/>
        </w:rPr>
        <w:t xml:space="preserve">3.2 Ill-posedness and the minimum step size</w:t>
      </w:r>
    </w:p>
    <w:p>
      <w:pPr>
        <w:spacing w:after="120" w:line="300"/>
      </w:pPr>
      <w:r>
        <w:rPr>
          <w:rFonts w:ascii="Helvetica" w:eastAsia="WenQuanYi Zen Hei" w:hAnsi="Helvetica"/>
          <w:sz w:val="21"/>
          <w:szCs w:val="21"/>
        </w:rPr>
        <w:t xml:space="preserve">Adjacent columns gₖ, gₖ₊₁ are distinguishable only through the waveform change that chromatic dispersion produces between the two positions. When the step Δz is too small, adjacent columns become highly correlated, Re[G†G] approaches singularity, and noise is severely amplified. The smallest resolvable step is set jointly by dispersion and signal bandwidth:</w:t>
      </w:r>
    </w:p>
    <w:p>
      <w:pPr>
        <w:spacing w:after="120" w:before="60"/>
        <w:jc w:val="center"/>
      </w:pPr>
      <w:r>
        <w:rPr>
          <w:rFonts w:ascii="Times New Roman" w:eastAsia="WenQuanYi Zen Hei" w:hAnsi="Times New Roman"/>
          <w:i/>
          <w:iCs/>
          <w:sz w:val="22"/>
          <w:szCs w:val="22"/>
        </w:rPr>
        <w:t xml:space="preserve">Δz_min ∝ 1 / ( |β₂|·BW² )</w:t>
      </w:r>
    </w:p>
    <w:p>
      <w:pPr>
        <w:spacing w:after="120" w:line="300"/>
      </w:pPr>
      <w:r>
        <w:rPr>
          <w:rFonts w:ascii="Helvetica" w:eastAsia="WenQuanYi Zen Hei" w:hAnsi="Helvetica"/>
          <w:sz w:val="21"/>
          <w:szCs w:val="21"/>
        </w:rPr>
        <w:t xml:space="preserve">This is a physical limit: regularization does not change the physics behind the column correlation; it stabilizes the inversion mathematically by trading bias for variance through prior knowledge.</w:t>
      </w:r>
    </w:p>
    <w:p>
      <w:pPr>
        <w:pStyle w:val="Heading2"/>
        <w:spacing w:after="110" w:before="220"/>
      </w:pPr>
      <w:r>
        <w:rPr>
          <w:rFonts w:ascii="Helvetica" w:eastAsia="WenQuanYi Zen Hei" w:hAnsi="Helvetica"/>
          <w:b/>
          <w:bCs/>
          <w:color w:val="2E74B5"/>
          <w:sz w:val="24"/>
          <w:szCs w:val="24"/>
        </w:rPr>
        <w:t xml:space="preserve">3.3 The differential sparse scheme and two required corrections</w:t>
      </w:r>
    </w:p>
    <w:p>
      <w:pPr>
        <w:spacing w:after="120" w:line="300"/>
      </w:pPr>
      <w:r>
        <w:rPr>
          <w:rFonts w:ascii="Helvetica" w:eastAsia="WenQuanYi Zen Hei" w:hAnsi="Helvetica"/>
          <w:sz w:val="21"/>
          <w:szCs w:val="21"/>
        </w:rPr>
        <w:t xml:space="preserve">The scheme under assessment: with reference profile x_ref (averaged from abundant pre-fault data), exploit model linearity to solve for the change Δx after the fault, with an L₁ sparsity constraint on its spatial derivative so the entire power drop collapses onto a single change point. Two details had to be corrected:</w:t>
      </w:r>
    </w:p>
    <w:p>
      <w:pPr>
        <w:pStyle w:val="ListParagraph"/>
        <w:numPr>
          <w:ilvl w:val="0"/>
          <w:numId w:val="2"/>
        </w:numPr>
        <w:spacing w:after="80" w:line="300"/>
      </w:pPr>
      <w:r>
        <w:rPr>
          <w:rFonts w:ascii="Helvetica" w:eastAsia="WenQuanYi Zen Hei" w:hAnsi="Helvetica"/>
          <w:b/>
          <w:bCs/>
          <w:sz w:val="21"/>
          <w:szCs w:val="21"/>
        </w:rPr>
        <w:t xml:space="preserve">Correction 1: Δy = y_ref − y_fault is not directly computable.</w:t>
      </w:r>
      <w:r>
        <w:rPr>
          <w:rFonts w:ascii="Helvetica" w:eastAsia="WenQuanYi Zen Hei" w:hAnsi="Helvetica"/>
          <w:sz w:val="21"/>
          <w:szCs w:val="21"/>
        </w:rPr>
        <w:t xml:space="preserve"> Different captures carry different transmitted symbols, so perturbation vectors from different captures cannot be subtracted sample-by-sample. The correct differential residual projects the reference profile through the current capture's own operator: r = y_fault − G_fault·x_ref.</w:t>
      </w:r>
    </w:p>
    <w:p>
      <w:pPr>
        <w:pStyle w:val="ListParagraph"/>
        <w:numPr>
          <w:ilvl w:val="0"/>
          <w:numId w:val="2"/>
        </w:numPr>
        <w:spacing w:after="80" w:line="300"/>
      </w:pPr>
      <w:r>
        <w:rPr>
          <w:rFonts w:ascii="Helvetica" w:eastAsia="WenQuanYi Zen Hei" w:hAnsi="Helvetica"/>
          <w:b/>
          <w:bCs/>
          <w:sz w:val="21"/>
          <w:szCs w:val="21"/>
        </w:rPr>
        <w:t xml:space="preserve">Correction 2: a plain first-difference penalty ‖DΔx‖₁ is the wrong sparsity basis.</w:t>
      </w:r>
      <w:r>
        <w:rPr>
          <w:rFonts w:ascii="Helvetica" w:eastAsia="WenQuanYi Zen Hei" w:hAnsi="Helvetica"/>
          <w:sz w:val="21"/>
          <w:szCs w:val="21"/>
        </w:rPr>
        <w:t xml:space="preserve"> Δx itself decays with fiber loss and jumps at EDFAs, so its plain first difference is not sparse. The total-variation constraint must be applied in the relative-change domain u = Δx / x_ref, where a lumped loss makes u an exact step function (equivalent to Fujitsu's attenuation-weighted J-matrix).</w:t>
      </w:r>
    </w:p>
    <w:p>
      <w:pPr>
        <w:spacing w:after="120" w:line="300"/>
      </w:pPr>
      <w:r>
        <w:rPr>
          <w:rFonts w:ascii="Helvetica" w:eastAsia="WenQuanYi Zen Hei" w:hAnsi="Helvetica"/>
          <w:sz w:val="21"/>
          <w:szCs w:val="21"/>
        </w:rPr>
        <w:t xml:space="preserve">The corrected optimization problem is:</w:t>
      </w:r>
    </w:p>
    <w:p>
      <w:pPr>
        <w:spacing w:after="120" w:before="60"/>
        <w:jc w:val="center"/>
      </w:pPr>
      <w:r>
        <w:rPr>
          <w:rFonts w:ascii="Times New Roman" w:eastAsia="WenQuanYi Zen Hei" w:hAnsi="Times New Roman"/>
          <w:i/>
          <w:iCs/>
          <w:sz w:val="22"/>
          <w:szCs w:val="22"/>
        </w:rPr>
        <w:t xml:space="preserve">min_u ½‖ G·diag(x_ref)·u − r ‖₂² + λ‖ D u ‖₁</w:t>
      </w:r>
    </w:p>
    <w:p>
      <w:pPr>
        <w:pStyle w:val="Heading2"/>
        <w:spacing w:after="110" w:before="220"/>
      </w:pPr>
      <w:r>
        <w:rPr>
          <w:rFonts w:ascii="Helvetica" w:eastAsia="WenQuanYi Zen Hei" w:hAnsi="Helvetica"/>
          <w:b/>
          <w:bCs/>
          <w:color w:val="2E74B5"/>
          <w:sz w:val="24"/>
          <w:szCs w:val="24"/>
        </w:rPr>
        <w:t xml:space="preserve">3.4 Solver and refinement</w:t>
      </w:r>
    </w:p>
    <w:p>
      <w:pPr>
        <w:pStyle w:val="ListParagraph"/>
        <w:numPr>
          <w:ilvl w:val="0"/>
          <w:numId w:val="2"/>
        </w:numPr>
        <w:spacing w:after="80" w:line="300"/>
      </w:pPr>
      <w:r>
        <w:rPr>
          <w:rFonts w:ascii="Helvetica" w:eastAsia="WenQuanYi Zen Hei" w:hAnsi="Helvetica"/>
          <w:b/>
          <w:bCs/>
          <w:sz w:val="21"/>
          <w:szCs w:val="21"/>
        </w:rPr>
        <w:t xml:space="preserve">ADMM + λ path:</w:t>
      </w:r>
      <w:r>
        <w:rPr>
          <w:rFonts w:ascii="Helvetica" w:eastAsia="WenQuanYi Zen Hei" w:hAnsi="Helvetica"/>
          <w:sz w:val="21"/>
          <w:szCs w:val="21"/>
        </w:rPr>
        <w:t xml:space="preserve"> The generalized Lasso is solved with ADMM; λ is swept along a descending, warm-started path, keeping the solution with the sparsest non-empty jump support — no manual tuning. Support detection uses ADMM's sparse copy variable, which is exactly sparse.</w:t>
      </w:r>
    </w:p>
    <w:p>
      <w:pPr>
        <w:pStyle w:val="ListParagraph"/>
        <w:numPr>
          <w:ilvl w:val="0"/>
          <w:numId w:val="2"/>
        </w:numPr>
        <w:spacing w:after="80" w:line="300"/>
      </w:pPr>
      <w:r>
        <w:rPr>
          <w:rFonts w:ascii="Helvetica" w:eastAsia="WenQuanYi Zen Hei" w:hAnsi="Helvetica"/>
          <w:b/>
          <w:bCs/>
          <w:sz w:val="21"/>
          <w:szCs w:val="21"/>
        </w:rPr>
        <w:t xml:space="preserve">Matched-filter refinement:</w:t>
      </w:r>
      <w:r>
        <w:rPr>
          <w:rFonts w:ascii="Helvetica" w:eastAsia="WenQuanYi Zen Hei" w:hAnsi="Helvetica"/>
          <w:sz w:val="21"/>
          <w:szCs w:val="21"/>
        </w:rPr>
        <w:t xml:space="preserve"> Centred on the sparse-detected bin, candidate fault positions are scanned on a 100-m grid: the RP1 step signature of a unit-depth loss at z_c, s(z_c) = −G·[x_ref·step(z&gt;z_c)], is correlated with the residual r; the correlation peak gives the position, and a least-squares amplitude refit removes the Lasso shrinkage bias to estimate the loss magnitude.</w:t>
      </w:r>
    </w:p>
    <w:p>
      <w:pPr>
        <w:pStyle w:val="Heading1"/>
        <w:spacing w:after="140" w:before="280"/>
      </w:pPr>
      <w:r>
        <w:rPr>
          <w:rFonts w:ascii="Helvetica" w:eastAsia="WenQuanYi Zen Hei" w:hAnsi="Helvetica"/>
          <w:b/>
          <w:bCs/>
          <w:color w:val="1F4E79"/>
          <w:sz w:val="30"/>
          <w:szCs w:val="30"/>
        </w:rPr>
        <w:t xml:space="preserve">4. Simulation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50"/>
        <w:gridCol w:w="2050"/>
        <w:gridCol w:w="2660"/>
      </w:tblGrid>
      <w:tr>
        <w:tc>
          <w:tcPr>
            <w:tcW w:type="dxa" w:w="26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Parameter</w:t>
            </w:r>
          </w:p>
        </w:tc>
        <w:tc>
          <w:tcPr>
            <w:tcW w:type="dxa" w:w="26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Value</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Signal</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64 GBd 16QAM, RRC 0.1</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Link</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 × 50 km SSMF</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Loss / dispersion</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0.2 dB/km, β₂ = −21.4 ps²/km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Nonlinear coeff.</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γ = 1.3 W⁻¹km⁻¹</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Launch power</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 dBm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EDFA ASE (NF 5 dB) + 18-dB Rx SNR</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 capture</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81920 symbols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Propagation</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Split-step Fourier, 100-m steps</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PPE 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 = 1 km (150 bins)</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Refinement grid</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100 m</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Fault</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1.0-dB lumped loss @ 72.35 km (off-grid)</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Data</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12-capture reference; 1 post-fault capture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Three localization methods are compared: (a) naive baseline — subtract the single-capture post-fault LS profile from the reference and take the largest drop of the relative-change difference; (b) differential sparse (corrected generalized Lasso, 1-km grid); (c) matched-filter refinement of (b) on a 100-m grid. Four independent fault trials (different data and noise realizations).</w:t>
      </w:r>
    </w:p>
    <w:p>
      <w:r>
        <w:br w:type="page"/>
      </w:r>
    </w:p>
    <w:p>
      <w:pPr>
        <w:pStyle w:val="Heading1"/>
        <w:spacing w:after="140" w:before="280"/>
      </w:pPr>
      <w:r>
        <w:rPr>
          <w:rFonts w:ascii="Helvetica" w:eastAsia="WenQuanYi Zen Hei" w:hAnsi="Helvetica"/>
          <w:b/>
          <w:bCs/>
          <w:color w:val="1F4E79"/>
          <w:sz w:val="30"/>
          <w:szCs w:val="30"/>
        </w:rPr>
        <w:t xml:space="preserve">5. Simulation Results</w:t>
      </w:r>
    </w:p>
    <w:p>
      <w:pPr>
        <w:pStyle w:val="Heading2"/>
        <w:spacing w:after="110" w:before="220"/>
      </w:pPr>
      <w:r>
        <w:rPr>
          <w:rFonts w:ascii="Helvetica" w:eastAsia="WenQuanYi Zen Hei" w:hAnsi="Helvetica"/>
          <w:b/>
          <w:bCs/>
          <w:color w:val="2E74B5"/>
          <w:sz w:val="24"/>
          <w:szCs w:val="24"/>
        </w:rPr>
        <w:t xml:space="preserve">5.1 Reference profile (healthy link)</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1  Healthy-link power profile (81920 symbols per capture): single-capture LS-PPE (blue) is still noisy; the 12-capture average (red) serves as the reference and tracks the true three-span sawtooth closely, with only minor residual ripple in the low-power span tails.</w:t>
      </w:r>
    </w:p>
    <w:p>
      <w:pPr>
        <w:pStyle w:val="Heading2"/>
        <w:spacing w:after="110" w:before="220"/>
      </w:pPr>
      <w:r>
        <w:rPr>
          <w:rFonts w:ascii="Helvetica" w:eastAsia="WenQuanYi Zen Hei" w:hAnsi="Helvetica"/>
          <w:b/>
          <w:bCs/>
          <w:color w:val="2E74B5"/>
          <w:sz w:val="24"/>
          <w:szCs w:val="24"/>
        </w:rPr>
        <w:t xml:space="preserve">5.2 Differential sparse localization</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2  1-dB lumped loss, single post-fault capture. Top: naive subtraction (blue) is buried in noise, while the differential sparse solution (red) is a clean step at the right position (amplitude shrunk by the Lasso; refit in Sec. 5.3). Bottom (twin axes — the two indicators differ by ~3 orders of magnitude): the naive jump indicator (blue, left axis, ±25) fluctuates along the whole link; the sparse jump indicator (red stem, right axis) is nonzero in only 1 of 149 bins, directly at the fault bin 72.5 km (true: 72.35 km — the 0.15-km error is half a grid cell).</w:t>
      </w:r>
    </w:p>
    <w:p>
      <w:pPr>
        <w:pStyle w:val="Heading2"/>
        <w:spacing w:after="110" w:before="220"/>
      </w:pPr>
      <w:r>
        <w:rPr>
          <w:rFonts w:ascii="Helvetica" w:eastAsia="WenQuanYi Zen Hei" w:hAnsi="Helvetica"/>
          <w:b/>
          <w:bCs/>
          <w:color w:val="2E74B5"/>
          <w:sz w:val="24"/>
          <w:szCs w:val="24"/>
        </w:rPr>
        <w:t xml:space="preserve">5.3 Matched-filter refinement and quantitative results</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Fig. 3  Matched-filter correlation on the 100-m grid (trial 1): the correlation surface is nearly flat over several km — adjacent candidate signatures decorrelate only through chromatic dispersion, so the km-scale ambiguity is the bandwidth/dispersion physics limit reasserting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2860"/>
      </w:tblGrid>
      <w:tr>
        <w:tc>
          <w:tcPr>
            <w:tcW w:type="dxa" w:w="27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Localization method</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Mean abs. error</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Max abs. error</w:t>
            </w:r>
          </w:p>
        </w:tc>
        <w:tc>
          <w:tcPr>
            <w:tcW w:type="dxa" w:w="28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Notes</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Naive profile subtraction (LS)</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 24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27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Noise-dominated, unusable</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Differential sparse (1-km grid)</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Single nonzero jump at the fault bin (grid floor)</w:t>
            </w:r>
          </w:p>
        </w:tc>
      </w:tr>
      <w:tr>
        <w:tc>
          <w:tcPr>
            <w:tcW w:type="dxa" w:w="27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Matched-filter refinement (100-m grid)</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0.65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0.95 km</w:t>
            </w:r>
          </w:p>
        </w:tc>
        <w:tc>
          <w:tcPr>
            <w:tcW w:type="dxa" w:w="28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Amplitude refit 0.88–0.89 dB (true 1.0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In all four trials the differential sparse method places its single nonzero jump exactly at the fault bin (a consistent +0.15 km — the 1-km grid's resolution floor). The matched filter refines to 0.55–0.95 km but does not reach the hundred-metre scale: the correlation surface remains flat at kilometre scale (Fig. 3), confirming the dispersion × bandwidth² limit. The loss magnitude is accurately recovered by the refit (0.88–0.89 dB).</w:t>
      </w:r>
    </w:p>
    <w:p>
      <w:pPr>
        <w:pStyle w:val="Heading2"/>
        <w:spacing w:after="110" w:before="220"/>
      </w:pPr>
      <w:r>
        <w:rPr>
          <w:rFonts w:ascii="Helvetica" w:eastAsia="WenQuanYi Zen Hei" w:hAnsi="Helvetica"/>
          <w:b/>
          <w:bCs/>
          <w:color w:val="2E74B5"/>
          <w:sz w:val="24"/>
          <w:szCs w:val="24"/>
        </w:rPr>
        <w:t xml:space="preserve">5.4 What sets the accuracy: layered decomposition and a perfect-reference control experiment</w:t>
      </w:r>
    </w:p>
    <w:p>
      <w:pPr>
        <w:spacing w:after="120" w:line="300"/>
      </w:pPr>
      <w:r>
        <w:rPr>
          <w:rFonts w:ascii="Helvetica" w:eastAsia="WenQuanYi Zen Hei" w:hAnsi="Helvetica"/>
          <w:sz w:val="21"/>
          <w:szCs w:val="21"/>
        </w:rPr>
        <w:t xml:space="preserve">The matched-filter error is identical (+550 m) in three of the four trials, which shows the current accuracy is dominated by systematic bias, not random noise. Four layers determine localization accuracy, from smallest to largest: (1) grid quantization — the ±0.5-km floor of the 1-km sparse-stage grid, removable with a finer grid; (2) signature distinguishability — moving the candidate fault by δ changes the matched template only by the NLI generated inside that δ segment, and the only mechanism that distinguishes NLI from adjacent positions is the waveform reshaping that dispersion produces within δ, at a rate ∝ |β₂|·BW² (the same physics as Δz_min): kilometre-scale at 64 GBd, an insurmountable ceiling; (3) noise variance — ASE and transceiver noise jitter the correlation peak, converging as 1/√N with data volume, already pushed below a few hundred metres at 10× data; (4) systematic bias — the actual source of the current +550 m, isolated by the control experiment below.</w:t>
      </w:r>
    </w:p>
    <w:p>
      <w:pPr>
        <w:spacing w:after="120" w:line="300"/>
      </w:pPr>
      <w:r>
        <w:rPr>
          <w:rFonts w:ascii="Helvetica" w:eastAsia="WenQuanYi Zen Hei" w:hAnsi="Helvetica"/>
          <w:sz w:val="21"/>
          <w:szCs w:val="21"/>
        </w:rPr>
        <w:t xml:space="preserve">Perfect-reference control experiment: on identical fault captures, only the reference profile is swapped among three cases — the estimated reference (12-capture LS mean, baseline), the perfect physical reference (analytic truth), and a scaled physical reference (truth × α, where α = 0.914 is the least-squares scale of the LS mean against the physical truth). Results over three independent trials (highly consistent within each case — systematic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750"/>
        <w:gridCol w:w="1900"/>
        <w:gridCol w:w="2650"/>
      </w:tblGrid>
      <w:tr>
        <w:tc>
          <w:tcPr>
            <w:tcW w:type="dxa" w:w="30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Reference profile</w:t>
            </w:r>
          </w:p>
        </w:tc>
        <w:tc>
          <w:tcPr>
            <w:tcW w:type="dxa" w:w="17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Sparse stage</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Matched filter</w:t>
            </w:r>
          </w:p>
        </w:tc>
        <w:tc>
          <w:tcPr>
            <w:tcW w:type="dxa" w:w="26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Loss estimate (true 1.0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Estimated (12-capture LS mean, baseline)</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0.88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Perfect physical (analytic truth)</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−2850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1.59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Scaled physical (× 0.914)</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to +2.15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+3150 to +4950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The result is counter-intuitive but mechanistically clear: the perfect physical reference makes the matched-filter error about 5× worse. The healthy-link component of the measurement is G·x_physical + the RP1 model error (the higher-order terms dropped by the first-order perturbation approximation, ≈ 9% in this setting — directly measured by the scale factor α = 0.914: the LS profile sits systematically ~9% low because it absorbs the model error into itself). With the estimated reference, that model bias is present in both the reference and the fault measurement and cancels in the subtraction; the physical-truth reference leaves the full model error in the residual, whose structured component drags the correlation peak by −2.85 km and inflates the loss estimate to 1.59 dB.</w:t>
      </w:r>
    </w:p>
    <w:p>
      <w:pPr>
        <w:spacing w:after="120" w:line="300"/>
      </w:pPr>
      <w:r>
        <w:rPr>
          <w:rFonts w:ascii="Helvetica" w:eastAsia="WenQuanYi Zen Hei" w:hAnsi="Helvetica"/>
          <w:sz w:val="21"/>
          <w:szCs w:val="21"/>
        </w:rPr>
        <w:t xml:space="preserve">This exposes an intrinsic strength of the differential scheme: the value of the reference lies not in physical accuracy but in sharing the same systematic errors as the fault measurement — same transceiver, same model, same DSP chain, so all common biases cancel in the subtraction (a generalization of the earlier observation that pre-existing link losses cancel, extended to the estimator's own bias). Accordingly, the residual +550 m stems mainly from the second-order residual created by the fault itself altering the downstream nonlinear-phase accumulation (so the model bias is no longer identical before and after the fault), plus a ~50-m contribution from the fine-grid half-bin convention. The right lever for further improvement is a lower nonlinear operating point (trading launch power for data volume) or a higher-order perturbation / local SSFM inversion model — not a better reference — and everything remains under the kilometre-scale ceiling of layer (2).</w:t>
      </w:r>
    </w:p>
    <w:p>
      <w:pPr>
        <w:pStyle w:val="Heading1"/>
        <w:spacing w:after="140" w:before="280"/>
      </w:pPr>
      <w:r>
        <w:rPr>
          <w:rFonts w:ascii="Helvetica" w:eastAsia="WenQuanYi Zen Hei" w:hAnsi="Helvetica"/>
          <w:b/>
          <w:bCs/>
          <w:color w:val="1F4E79"/>
          <w:sz w:val="30"/>
          <w:szCs w:val="30"/>
        </w:rPr>
        <w:t xml:space="preserve">6. Verdict on the Original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60"/>
      </w:tblGrid>
      <w:tr>
        <w:tc>
          <w:tcPr>
            <w:tcW w:type="dxa" w:w="3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Claim</w:t>
            </w:r>
          </w:p>
        </w:tc>
        <w:tc>
          <w:tcPr>
            <w:tcW w:type="dxa" w:w="15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Verdict</w:t>
            </w:r>
          </w:p>
        </w:tc>
        <w:tc>
          <w:tcPr>
            <w:tcW w:type="dxa" w:w="39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Basis</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Δz_min is set by dispersion and bandwidth²</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Consistent with Sasai's ill-posedness analysis; also seen in the flat correlation surface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Differential + sparsity prior greatly improves localization</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Tens of km → ≈ 1 km, one to two orders of magnitude</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Pre-existing loss events cancel in the differential; only a small shadowing term remains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Correct</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Follows directly from model linearity</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Subtract measurements directly: Δy = y_ref − y_fault</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Different captures carry different symbols; use r = y_fault − G·x_ref</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Plain first difference of Δx as the sparsity basis</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Needs correction</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Apply TV in the relative domain u = Δx/x_ref (attenuation-weighted)</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50–200 m accuracy, purely noise-limited</w:t>
            </w:r>
          </w:p>
        </w:tc>
        <w:tc>
          <w:tcPr>
            <w:tcW w:type="dxa" w:w="15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Over-optimistic</w:t>
            </w:r>
          </w:p>
        </w:tc>
        <w:tc>
          <w:tcPr>
            <w:tcW w:type="dxa" w:w="39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The physics limit remains; 0.55–0.95 km here even with abundant data; literature (NTT +3 km, Fujitsu &lt;4 km, CICT 1 km) is km-scale</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Overall conclusion: differential sparse PPE is a correct and worthwhile engineering approach. Its gain comes from degrading the full-profile reconstruction problem into a single-parameter (step-position) detection problem, thereby exploiting the information of every bin downstream of the fault. Its accuracy ceiling, however, is still bounded by the dispersion × bandwidth² resolution physics: at 64–100 GBd, sub-kilometre (~0.5–1 km) with abundant data — not hundreds of metres — is the realistic ceiling. The control experiment (Sec. 5.4) further shows the reference need not be physically accurate: an estimated reference that shares the measurement's systematic errors significantly outperforms a perfect physical one, because the differential structure cancels common model bias automatically.</w:t>
      </w:r>
    </w:p>
    <w:p>
      <w:pPr>
        <w:pStyle w:val="Heading1"/>
        <w:spacing w:after="140" w:before="280"/>
      </w:pPr>
      <w:r>
        <w:rPr>
          <w:rFonts w:ascii="Helvetica" w:eastAsia="WenQuanYi Zen Hei" w:hAnsi="Helvetica"/>
          <w:b/>
          <w:bCs/>
          <w:color w:val="1F4E79"/>
          <w:sz w:val="30"/>
          <w:szCs w:val="30"/>
        </w:rPr>
        <w:t xml:space="preserve">7. Reproduction Code and References</w:t>
      </w:r>
    </w:p>
    <w:p>
      <w:pPr>
        <w:spacing w:after="120" w:line="300"/>
      </w:pPr>
      <w:r>
        <w:rPr>
          <w:rFonts w:ascii="Helvetica" w:eastAsia="WenQuanYi Zen Hei" w:hAnsi="Helvetica"/>
          <w:sz w:val="21"/>
          <w:szCs w:val="21"/>
        </w:rPr>
        <w:t xml:space="preserve">Code lives in repo longrain153/PPE2 (branch claude/ppe-localization-accuracy-9tirgk): ppe/link_sim.py (split-step link simulator), ppe/ppe_core.py (G matrix, LS-PPE, ADMM generalized Lasso, matched filter), run_experiment.py (end-to-end experiment, ~40 min at 81920 symbols/capture), experiments/exp_perfect_ref.py (the Sec. 5.4 perfect-reference control experiment).</w:t>
      </w:r>
    </w:p>
    <w:p>
      <w:pPr>
        <w:pStyle w:val="ListParagraph"/>
        <w:numPr>
          <w:ilvl w:val="0"/>
          <w:numId w:val="2"/>
        </w:numPr>
        <w:spacing w:after="80" w:line="300"/>
      </w:pPr>
      <w:r>
        <w:rPr>
          <w:rFonts w:ascii="Helvetica" w:eastAsia="WenQuanYi Zen Hei" w:hAnsi="Helvetica"/>
          <w:sz w:val="21"/>
          <w:szCs w:val="21"/>
        </w:rPr>
        <w:t xml:space="preserve">T. Sasai et al., “Linear Least Squares Estimation of Fiber-Longitudinal Optical Power Profile,” J. Lightwave Technol., vol. 42, no. 6, 2023.</w:t>
      </w:r>
    </w:p>
    <w:p>
      <w:pPr>
        <w:pStyle w:val="ListParagraph"/>
        <w:numPr>
          <w:ilvl w:val="0"/>
          <w:numId w:val="2"/>
        </w:numPr>
        <w:spacing w:after="80" w:line="300"/>
      </w:pPr>
      <w:r>
        <w:rPr>
          <w:rFonts w:ascii="Helvetica" w:eastAsia="WenQuanYi Zen Hei" w:hAnsi="Helvetica"/>
          <w:sz w:val="21"/>
          <w:szCs w:val="21"/>
        </w:rPr>
        <w:t xml:space="preserve">R. Shinzaki et al. (Fujitsu), “Sparse Modeling Analysis for Efficient Localization of Power Anomalies in Transmission Links,” OECC 2024.</w:t>
      </w:r>
    </w:p>
    <w:p>
      <w:pPr>
        <w:pStyle w:val="ListParagraph"/>
        <w:numPr>
          <w:ilvl w:val="0"/>
          <w:numId w:val="2"/>
        </w:numPr>
        <w:spacing w:after="80" w:line="300"/>
      </w:pPr>
      <w:r>
        <w:rPr>
          <w:rFonts w:ascii="Helvetica" w:eastAsia="WenQuanYi Zen Hei" w:hAnsi="Helvetica"/>
          <w:sz w:val="21"/>
          <w:szCs w:val="21"/>
        </w:rPr>
        <w:t xml:space="preserve">H. Ishihara et al. (NTT), “Robust Fibre Longitudinal Power Monitoring with Few Measurements using Two-stage Sparse Regularization,” ECOC 2025, W.01.06.4.</w:t>
      </w:r>
    </w:p>
    <w:p>
      <w:pPr>
        <w:pStyle w:val="ListParagraph"/>
        <w:numPr>
          <w:ilvl w:val="0"/>
          <w:numId w:val="2"/>
        </w:numPr>
        <w:spacing w:after="80" w:line="300"/>
      </w:pPr>
      <w:r>
        <w:rPr>
          <w:rFonts w:ascii="Helvetica" w:eastAsia="WenQuanYi Zen Hei" w:hAnsi="Helvetica"/>
          <w:sz w:val="21"/>
          <w:szCs w:val="21"/>
        </w:rPr>
        <w:t xml:space="preserve">Y. Zuo et al. (CICT), “High-fidelity fiber longitudinal power monitoring via non-uniform sparse regularization,” Opt. Express, vol. 34, no. 10, 2026.</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eastAsia="WenQuanYi Zen Hei" w:hAnsi="Helvetic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240851a2d87866a0aceed3a582ebfb2473164.png"/><Relationship Id="rId8" Type="http://schemas.openxmlformats.org/officeDocument/2006/relationships/image" Target="media/10cb3d25b63765e36be3a7daa38c69b52e9ec4ba.png"/><Relationship Id="rId9" Type="http://schemas.openxmlformats.org/officeDocument/2006/relationships/image" Target="media/a5e01ff952da2db33e54a400eabc172dbc71ca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2026-08-10T22:22:36.629Z</dcterms:created>
  <dcterms:modified xsi:type="dcterms:W3CDTF">2026-08-10T22:22:36.629Z</dcterms:modified>
</cp:coreProperties>
</file>

<file path=docProps/custom.xml><?xml version="1.0" encoding="utf-8"?>
<Properties xmlns="http://schemas.openxmlformats.org/officeDocument/2006/custom-properties" xmlns:vt="http://schemas.openxmlformats.org/officeDocument/2006/docPropsVTypes"/>
</file>