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Helvetica" w:eastAsia="WenQuanYi Zen Hei" w:hAnsi="Helvetica"/>
          <w:b/>
          <w:bCs/>
          <w:sz w:val="36"/>
          <w:szCs w:val="36"/>
        </w:rPr>
        <w:t xml:space="preserve">Differential Sparse Regularization for Longitudinal Power Anomaly Localization</w:t>
      </w:r>
    </w:p>
    <w:p>
      <w:pPr>
        <w:spacing w:after="60"/>
        <w:jc w:val="center"/>
      </w:pPr>
      <w:r>
        <w:rPr>
          <w:rFonts w:ascii="Helvetica" w:eastAsia="WenQuanYi Zen Hei" w:hAnsi="Helvetica"/>
          <w:color w:val="595959"/>
          <w:sz w:val="24"/>
          <w:szCs w:val="24"/>
        </w:rPr>
        <w:t xml:space="preserve">Scheme Assessment and Simulation Reproduction Report — from Theory to Simulation Results</w:t>
      </w:r>
    </w:p>
    <w:p>
      <w:pPr>
        <w:spacing w:after="240"/>
        <w:jc w:val="center"/>
      </w:pPr>
      <w:r>
        <w:rPr>
          <w:rFonts w:ascii="Helvetica" w:eastAsia="WenQuanYi Zen Hei" w:hAnsi="Helvetica"/>
          <w:color w:val="808080"/>
          <w:sz w:val="18"/>
          <w:szCs w:val="18"/>
        </w:rPr>
        <w:t xml:space="preserve">August 10, 2026 · repo longrain153/PPE2 · branch claude/ppe-localization-accuracy-9tirgk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1. Executive Summary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This report assesses a "differential sparse PPE" scheme intended to improve fault-localization accuracy in fiber-longitudinal power profile estimation (PPE / Longitudinal Power Monitoring, LPM): build a low-noise reference profile from abundant pre-fault data, then, after the fault, solve only for the change relative to that reference under a step-sparsity prior (generalized Lasso / total-variation regularization). Theory and numerical simulation show the core idea is sound and is essentially the approach published by Fujitsu (OECC 2024) and NTT (ECOC 2025). Under 64 GBd, 3 × 50 km, a 1-dB lumped loss, and a single post-fault capture, localization error improves from tens of kilometres (naive profile subtraction) to about 1 km — one to two orders of magnitude. However, two formulation details in the original proposal require correction, and the claimed "50–200 m, purely noise-limited" accuracy is over-optimistic: the spatial-resolution physics set by chromatic dispersion × bandwidth² still applies, and kilometre-scale accuracy is the realistic expectation in this regime, consistent with experimental literature.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2. Background and Problem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PPE/LPM inverts the Kerr nonlinearity imprinted on the received signal to reconstruct the power distribution along a link using receiver-side DSP only — no OTDR or dedicated hardware. It can monitor amplifier gains, span losses, and anomalous loss events (degraded splices, cable stress). The core challenge is that under practical low-power, limited-data conditions the estimate is noisy and spatially resolution-limited, making small lumped losses hard to pinpoint.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The operational scenario considered here: before the fault there is ample time to collect data and form a reference; after the fault, data are limited, and a single dominant loss event must be localized as accurately as possible.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3. Theory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3.1 The LS-PPE linear model (RP1)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Under the first-order regular perturbation (RP1) approximation, the nonlinear perturbation of the received signal is linear in the "generalized nonlinear coefficient" γ′(z) = γ·P(z). Discretizing the link into M spatial bins gives the matrix form:</w:t>
      </w:r>
    </w:p>
    <w:p>
      <w:pPr>
        <w:spacing w:after="120" w:before="60"/>
        <w:jc w:val="center"/>
      </w:pPr>
      <w:r>
        <w:rPr>
          <w:rFonts w:ascii="Times New Roman" w:eastAsia="WenQuanYi Zen Hei" w:hAnsi="Times New Roman"/>
          <w:i/>
          <w:iCs/>
          <w:sz w:val="22"/>
          <w:szCs w:val="22"/>
        </w:rPr>
        <w:t xml:space="preserve">A₁ ≈ G·γ′,  gₖ = D(−zₖ)[ j·|uₖ|²uₖ ],  uₖ = D(zₖ)·u₀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where D(z) is the dispersion operator and u₀ the known transmitted waveform. Each column gₖ is the receiver-side "fingerprint" of nonlinearity generated at position zₖ. The least-squares solution (LS-PPE, Sasai et al., JLT 2023) is:</w:t>
      </w:r>
    </w:p>
    <w:p>
      <w:pPr>
        <w:spacing w:after="120" w:before="60"/>
        <w:jc w:val="center"/>
      </w:pPr>
      <w:r>
        <w:rPr>
          <w:rFonts w:ascii="Times New Roman" w:eastAsia="WenQuanYi Zen Hei" w:hAnsi="Times New Roman"/>
          <w:i/>
          <w:iCs/>
          <w:sz w:val="22"/>
          <w:szCs w:val="22"/>
        </w:rPr>
        <w:t xml:space="preserve">γ̂′ = ( Re[G†G] )⁻¹ Re[G†A₁]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3.2 Ill-posedness and the minimum step size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Adjacent columns gₖ, gₖ₊₁ are distinguishable only through the waveform change that chromatic dispersion produces between the two positions. When the step Δz is too small, adjacent columns become highly correlated, Re[G†G] approaches singularity, and noise is severely amplified. The smallest resolvable step is set jointly by dispersion and signal bandwidth:</w:t>
      </w:r>
    </w:p>
    <w:p>
      <w:pPr>
        <w:spacing w:after="120" w:before="60"/>
        <w:jc w:val="center"/>
      </w:pPr>
      <w:r>
        <w:rPr>
          <w:rFonts w:ascii="Times New Roman" w:eastAsia="WenQuanYi Zen Hei" w:hAnsi="Times New Roman"/>
          <w:i/>
          <w:iCs/>
          <w:sz w:val="22"/>
          <w:szCs w:val="22"/>
        </w:rPr>
        <w:t xml:space="preserve">Δz_min ∝ 1 / ( |β₂|·BW² )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This is a physical limit: regularization does not change the physics behind the column correlation; it stabilizes the inversion mathematically by trading bias for variance through prior knowledge.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3.3 The differential sparse scheme and two required corrections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The scheme under assessment: with reference profile x_ref (averaged from abundant pre-fault data), exploit model linearity to solve for the change Δx after the fault, with an L₁ sparsity constraint on its spatial derivative so the entire power drop collapses onto a single change point. Two details had to be corrected: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b/>
          <w:bCs/>
          <w:sz w:val="21"/>
          <w:szCs w:val="21"/>
        </w:rPr>
        <w:t xml:space="preserve">Correction 1: Δy = y_ref − y_fault is not directly computable.</w:t>
      </w:r>
      <w:r>
        <w:rPr>
          <w:rFonts w:ascii="Helvetica" w:eastAsia="WenQuanYi Zen Hei" w:hAnsi="Helvetica"/>
          <w:sz w:val="21"/>
          <w:szCs w:val="21"/>
        </w:rPr>
        <w:t xml:space="preserve"> Different captures carry different transmitted symbols, so perturbation vectors from different captures cannot be subtracted sample-by-sample. The correct differential residual projects the reference profile through the current capture's own operator: r = y_fault − G_fault·x_ref.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b/>
          <w:bCs/>
          <w:sz w:val="21"/>
          <w:szCs w:val="21"/>
        </w:rPr>
        <w:t xml:space="preserve">Correction 2: a plain first-difference penalty ‖DΔx‖₁ is the wrong sparsity basis.</w:t>
      </w:r>
      <w:r>
        <w:rPr>
          <w:rFonts w:ascii="Helvetica" w:eastAsia="WenQuanYi Zen Hei" w:hAnsi="Helvetica"/>
          <w:sz w:val="21"/>
          <w:szCs w:val="21"/>
        </w:rPr>
        <w:t xml:space="preserve"> Δx itself decays with fiber loss and jumps at EDFAs, so its plain first difference is not sparse. The total-variation constraint must be applied in the relative-change domain u = Δx / x_ref, where a lumped loss makes u an exact step function (equivalent to Fujitsu's attenuation-weighted J-matrix).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The corrected optimization problem is:</w:t>
      </w:r>
    </w:p>
    <w:p>
      <w:pPr>
        <w:spacing w:after="120" w:before="60"/>
        <w:jc w:val="center"/>
      </w:pPr>
      <w:r>
        <w:rPr>
          <w:rFonts w:ascii="Times New Roman" w:eastAsia="WenQuanYi Zen Hei" w:hAnsi="Times New Roman"/>
          <w:i/>
          <w:iCs/>
          <w:sz w:val="22"/>
          <w:szCs w:val="22"/>
        </w:rPr>
        <w:t xml:space="preserve">min_u ½‖ G·diag(x_ref)·u − r ‖₂² + λ‖ D u ‖₁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3.4 Solver and refinement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b/>
          <w:bCs/>
          <w:sz w:val="21"/>
          <w:szCs w:val="21"/>
        </w:rPr>
        <w:t xml:space="preserve">ADMM + λ path:</w:t>
      </w:r>
      <w:r>
        <w:rPr>
          <w:rFonts w:ascii="Helvetica" w:eastAsia="WenQuanYi Zen Hei" w:hAnsi="Helvetica"/>
          <w:sz w:val="21"/>
          <w:szCs w:val="21"/>
        </w:rPr>
        <w:t xml:space="preserve"> The generalized Lasso is solved with ADMM; λ is swept along a descending, warm-started path, keeping the solution with the sparsest non-empty jump support — no manual tuning. Support detection uses ADMM's sparse copy variable, which is exactly sparse.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b/>
          <w:bCs/>
          <w:sz w:val="21"/>
          <w:szCs w:val="21"/>
        </w:rPr>
        <w:t xml:space="preserve">Matched-filter refinement:</w:t>
      </w:r>
      <w:r>
        <w:rPr>
          <w:rFonts w:ascii="Helvetica" w:eastAsia="WenQuanYi Zen Hei" w:hAnsi="Helvetica"/>
          <w:sz w:val="21"/>
          <w:szCs w:val="21"/>
        </w:rPr>
        <w:t xml:space="preserve"> Centred on the sparse-detected bin, candidate fault positions are scanned on a 100-m grid: the RP1 step signature of a unit-depth loss at z_c, s(z_c) = −G·[x_ref·step(z&gt;z_c)], is correlated with the residual r; the correlation peak gives the position, and a least-squares amplitude refit removes the Lasso shrinkage bias to estimate the loss magnitude.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4. Simulation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50"/>
        <w:gridCol w:w="2050"/>
        <w:gridCol w:w="266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Parameter</w:t>
            </w:r>
          </w:p>
        </w:tc>
        <w:tc>
          <w:tcPr>
            <w:tcW w:type="dxa" w:w="20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Value</w:t>
            </w:r>
          </w:p>
        </w:tc>
        <w:tc>
          <w:tcPr>
            <w:tcW w:type="dxa" w:w="20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Parameter</w:t>
            </w:r>
          </w:p>
        </w:tc>
        <w:tc>
          <w:tcPr>
            <w:tcW w:type="dxa" w:w="26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Signal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64 GBd 16QAM, RRC 0.1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Link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3 × 50 km SSMF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Loss / dispersion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0.2 dB/km, β₂ = −21.4 ps²/km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Nonlinear coeff.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γ = 1.3 W⁻¹km⁻¹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Launch power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6 dBm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Noise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EDFA ASE (NF 5 dB) + 18-dB Rx SNR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Per capture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8192 symbols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Propagation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Split-step Fourier, 100-m steps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PPE grid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Δz = 1 km (150 bins)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Refinement grid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100 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Fault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1.0-dB lumped loss @ 72.35 km (off-grid)</w:t>
            </w:r>
          </w:p>
        </w:tc>
        <w:tc>
          <w:tcPr>
            <w:tcW w:type="dxa" w:w="20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Data</w:t>
            </w:r>
          </w:p>
        </w:tc>
        <w:tc>
          <w:tcPr>
            <w:tcW w:type="dxa" w:w="26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12-capture reference; 1 post-fault capture</w:t>
            </w:r>
          </w:p>
        </w:tc>
      </w:tr>
    </w:tbl>
    <w:p>
      <w:pPr>
        <w:spacing w:after="60"/>
      </w:pPr>
      <w:r>
        <w:rPr>
          <w:rFonts w:ascii="Helvetica" w:eastAsia="WenQuanYi Zen Hei" w:hAnsi="Helvetica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Three localization methods are compared: (a) naive baseline — subtract the single-capture post-fault LS profile from the reference and take the largest drop of the relative-change difference; (b) differential sparse (corrected generalized Lasso, 1-km grid); (c) matched-filter refinement of (b) on a 100-m grid. Four independent fault trials (different data and noise realizations).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5. Simulation Results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5.1 Reference profile (healthy link)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eastAsia="WenQuanYi Zen Hei" w:hAnsi="Helvetica"/>
          <w:color w:val="595959"/>
          <w:sz w:val="18"/>
          <w:szCs w:val="18"/>
        </w:rPr>
        <w:t xml:space="preserve">Fig. 1  Healthy-link power profile: single-capture LS-PPE (blue) is visibly noisy; the 12-capture average (red) serves as the reference, with the three-span sawtooth structure clearly resolved.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5.2 Differential sparse localization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eastAsia="WenQuanYi Zen Hei" w:hAnsi="Helvetica"/>
          <w:color w:val="595959"/>
          <w:sz w:val="18"/>
          <w:szCs w:val="18"/>
        </w:rPr>
        <w:t xml:space="preserve">Fig. 2  1-dB lumped loss, single post-fault capture. Top: naive subtraction (blue) is buried in noise, while the differential sparse solution (red) is a clean step at the right position (amplitude shrunk by the Lasso; refit in Sec. 5.3). Bottom (twin axes — the two indicators differ by ~3 orders of magnitude): the naive jump indicator (blue, left axis, ±25) fluctuates along the whole link; the sparse jump indicator (red stems, right axis, ±0.06) is nonzero in only 2 of 149 bins, both clustered at the fault, and its deepest jump gives the detected position 73.5 km (true: 72.35 km).</w:t>
      </w:r>
    </w:p>
    <w:p>
      <w:pPr>
        <w:pStyle w:val="Heading2"/>
        <w:spacing w:after="110" w:before="220"/>
      </w:pPr>
      <w:r>
        <w:rPr>
          <w:rFonts w:ascii="Helvetica" w:eastAsia="WenQuanYi Zen Hei" w:hAnsi="Helvetica"/>
          <w:b/>
          <w:bCs/>
          <w:color w:val="2E74B5"/>
          <w:sz w:val="24"/>
          <w:szCs w:val="24"/>
        </w:rPr>
        <w:t xml:space="preserve">5.3 Matched-filter refinement and quantitative results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elvetica" w:eastAsia="WenQuanYi Zen Hei" w:hAnsi="Helvetica"/>
          <w:color w:val="595959"/>
          <w:sz w:val="18"/>
          <w:szCs w:val="18"/>
        </w:rPr>
        <w:t xml:space="preserve">Fig. 3  Matched-filter correlation on the 100-m grid (trial 1): the correlation surface is nearly flat over several km — adjacent candidate signatures decorrelate only through chromatic dispersion, so the km-scale ambiguity is the bandwidth/dispersion physics limit reasserting itself.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900"/>
        <w:gridCol w:w="1900"/>
        <w:gridCol w:w="2860"/>
      </w:tblGrid>
      <w:tr>
        <w:tc>
          <w:tcPr>
            <w:tcW w:type="dxa" w:w="27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Localization method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Mean abs. error</w:t>
            </w:r>
          </w:p>
        </w:tc>
        <w:tc>
          <w:tcPr>
            <w:tcW w:type="dxa" w:w="1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Max abs. error</w:t>
            </w:r>
          </w:p>
        </w:tc>
        <w:tc>
          <w:tcPr>
            <w:tcW w:type="dxa" w:w="28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Naive profile subtraction (LS)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≈ 40 km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75 km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Noise-dominated, unusable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Differential sparse (1-km grid)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0.9 km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1.15 km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Jump support concentrated at the fault</w:t>
            </w:r>
          </w:p>
        </w:tc>
      </w:tr>
      <w:tr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Matched-filter refinement (100-m grid)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1.5 km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4.2 km</w:t>
            </w:r>
          </w:p>
        </w:tc>
        <w:tc>
          <w:tcPr>
            <w:tcW w:type="dxa" w:w="2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Amplitude refit 0.85–0.95 dB (true 1.0 dB)</w:t>
            </w:r>
          </w:p>
        </w:tc>
      </w:tr>
    </w:tbl>
    <w:p>
      <w:pPr>
        <w:spacing w:after="60"/>
      </w:pPr>
      <w:r>
        <w:rPr>
          <w:rFonts w:ascii="Helvetica" w:eastAsia="WenQuanYi Zen Hei" w:hAnsi="Helvetica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In all four trials the differential sparse method places its jump support at the fault bin (errors 0.15–1.15 km, near the 1-km grid resolution). The matched filter refines to 150–350 m in some trials but drifts up to 4 km in others — the finer grid does not deliver reliable sub-km accuracy, confirming the flat correlation surface of Fig. 3. The loss magnitude is accurately recovered by the refit (0.85–0.95 dB).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6. Verdict on the Original Claims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1500"/>
        <w:gridCol w:w="3960"/>
      </w:tblGrid>
      <w:tr>
        <w:tc>
          <w:tcPr>
            <w:tcW w:type="dxa" w:w="39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Claim</w:t>
            </w:r>
          </w:p>
        </w:tc>
        <w:tc>
          <w:tcPr>
            <w:tcW w:type="dxa" w:w="15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Verdict</w:t>
            </w:r>
          </w:p>
        </w:tc>
        <w:tc>
          <w:tcPr>
            <w:tcW w:type="dxa" w:w="39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/>
                <w:bCs/>
                <w:sz w:val="21"/>
                <w:szCs w:val="21"/>
              </w:rPr>
              <w:t xml:space="preserve">Basis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Δz_min is set by dispersion and bandwidth²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Correct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Consistent with Sasai's ill-posedness analysis; also seen in the flat correlation surface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Differential + sparsity prior greatly improves localization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Correct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Tens of km → ≈ 1 km, one to two orders of magnitude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Pre-existing loss events cancel in the differential; only a small shadowing term remains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Correct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Follows directly from model linearity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Subtract measurements directly: Δy = y_ref − y_fault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Needs correction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Different captures carry different symbols; use r = y_fault − G·x_ref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Plain first difference of Δx as the sparsity basis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Needs correction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Apply TV in the relative domain u = Δx/x_ref (attenuation-weighted)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50–200 m accuracy, purely noise-limited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Over-optimistic</w:t>
            </w:r>
          </w:p>
        </w:tc>
        <w:tc>
          <w:tcPr>
            <w:tcW w:type="dxa" w:w="3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Helvetica" w:eastAsia="WenQuanYi Zen Hei" w:hAnsi="Helvetica"/>
                <w:b w:val="false"/>
                <w:bCs w:val="false"/>
                <w:sz w:val="21"/>
                <w:szCs w:val="21"/>
              </w:rPr>
              <w:t xml:space="preserve">The physics limit remains; this simulation and the literature (NTT +3 km, Fujitsu &lt;4 km, CICT 1 km) are all km-scale</w:t>
            </w:r>
          </w:p>
        </w:tc>
      </w:tr>
    </w:tbl>
    <w:p>
      <w:pPr>
        <w:spacing w:after="60"/>
      </w:pPr>
      <w:r>
        <w:rPr>
          <w:rFonts w:ascii="Helvetica" w:eastAsia="WenQuanYi Zen Hei" w:hAnsi="Helvetica"/>
          <w:sz w:val="21"/>
          <w:szCs w:val="21"/>
        </w:rPr>
        <w:t xml:space="preserve"/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Overall conclusion: differential sparse PPE is a correct and worthwhile engineering approach. Its gain comes from degrading the full-profile reconstruction problem into a single-parameter (step-position) detection problem, thereby exploiting the information of every bin downstream of the fault. Its accuracy ceiling, however, is still bounded by the dispersion × bandwidth² resolution physics: at 64–100 GBd, roughly 1 km — not hundreds of metres — is the realistic expectation.</w:t>
      </w:r>
    </w:p>
    <w:p>
      <w:pPr>
        <w:pStyle w:val="Heading1"/>
        <w:spacing w:after="140" w:before="280"/>
      </w:pPr>
      <w:r>
        <w:rPr>
          <w:rFonts w:ascii="Helvetica" w:eastAsia="WenQuanYi Zen Hei" w:hAnsi="Helvetica"/>
          <w:b/>
          <w:bCs/>
          <w:color w:val="1F4E79"/>
          <w:sz w:val="30"/>
          <w:szCs w:val="30"/>
        </w:rPr>
        <w:t xml:space="preserve">7. Reproduction Code and References</w:t>
      </w:r>
    </w:p>
    <w:p>
      <w:pPr>
        <w:spacing w:after="120" w:line="300"/>
      </w:pPr>
      <w:r>
        <w:rPr>
          <w:rFonts w:ascii="Helvetica" w:eastAsia="WenQuanYi Zen Hei" w:hAnsi="Helvetica"/>
          <w:sz w:val="21"/>
          <w:szCs w:val="21"/>
        </w:rPr>
        <w:t xml:space="preserve">Code lives in repo longrain153/PPE2 (branch claude/ppe-localization-accuracy-9tirgk): ppe/link_sim.py (split-step link simulator), ppe/ppe_core.py (G matrix, LS-PPE, ADMM generalized Lasso, matched filter), run_experiment.py (end-to-end experiment, ~2.5 min).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sz w:val="21"/>
          <w:szCs w:val="21"/>
        </w:rPr>
        <w:t xml:space="preserve">T. Sasai et al., “Linear Least Squares Estimation of Fiber-Longitudinal Optical Power Profile,” J. Lightwave Technol., vol. 42, no. 6, 2023.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sz w:val="21"/>
          <w:szCs w:val="21"/>
        </w:rPr>
        <w:t xml:space="preserve">R. Shinzaki et al. (Fujitsu), “Sparse Modeling Analysis for Efficient Localization of Power Anomalies in Transmission Links,” OECC 2024.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sz w:val="21"/>
          <w:szCs w:val="21"/>
        </w:rPr>
        <w:t xml:space="preserve">H. Ishihara et al. (NTT), “Robust Fibre Longitudinal Power Monitoring with Few Measurements using Two-stage Sparse Regularization,” ECOC 2025, W.01.06.4.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Helvetica" w:eastAsia="WenQuanYi Zen Hei" w:hAnsi="Helvetica"/>
          <w:sz w:val="21"/>
          <w:szCs w:val="21"/>
        </w:rPr>
        <w:t xml:space="preserve">Y. Zuo et al. (CICT), “High-fidelity fiber longitudinal power monitoring via non-uniform sparse regularization,” Opt. Express, vol. 34, no. 10, 2026.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eastAsia="WenQuanYi Zen Hei" w:hAnsi="Helvetic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cab708d275621fcd5194025a033ed59138c4ed6.png"/><Relationship Id="rId8" Type="http://schemas.openxmlformats.org/officeDocument/2006/relationships/image" Target="media/ddcae42a573fef961e82dc87fc47908171bacc3c.png"/><Relationship Id="rId9" Type="http://schemas.openxmlformats.org/officeDocument/2006/relationships/image" Target="media/937db071cc7244cba9b5a6610feacfee5628292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2026-08-10T19:30:42.861Z</dcterms:created>
  <dcterms:modified xsi:type="dcterms:W3CDTF">2026-08-10T19:30:42.861Z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