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rFonts w:ascii="Calibri" w:hAnsi="Calibri" w:eastAsia="Calibri" w:cs="Calibri"/>
          <w:b/>
          <w:bCs/>
          <w:sz w:val="24"/>
          <w:szCs w:val="24"/>
        </w:rPr>
      </w:pPr>
      <w:r>
        <w:rPr>
          <w:rFonts w:eastAsia="Calibri" w:cs="Calibri" w:ascii="Calibri" w:hAnsi="Calibri"/>
          <w:b/>
          <w:bCs/>
          <w:sz w:val="24"/>
          <w:szCs w:val="24"/>
        </w:rPr>
        <w:t>ANALYSIS</w:t>
      </w:r>
    </w:p>
    <w:p>
      <w:pPr>
        <w:pStyle w:val="Normal"/>
        <w:spacing w:lineRule="auto" w:line="240"/>
        <w:rPr>
          <w:rFonts w:ascii="Calibri" w:hAnsi="Calibri" w:eastAsia="Calibri" w:cs="Calibri"/>
          <w:sz w:val="24"/>
          <w:szCs w:val="24"/>
          <w:lang w:val="en-US"/>
        </w:rPr>
      </w:pPr>
      <w:r>
        <w:rPr>
          <w:rFonts w:eastAsia="Calibri" w:cs="Calibri" w:ascii="Calibri" w:hAnsi="Calibri"/>
          <w:sz w:val="24"/>
          <w:szCs w:val="24"/>
          <w:lang w:val="en-US"/>
        </w:rPr>
        <w:t xml:space="preserve">Please make sure that you review the Unit 1 Touchstone 1 instructional guide carefully. After you’ve analyzed the scenario and completed your research of outside sources, record at least four strengths, four weaknesses, four opportunities, and four threats as </w:t>
      </w:r>
      <w:r>
        <w:rPr>
          <w:rFonts w:eastAsia="Calibri" w:cs="Calibri" w:ascii="Calibri" w:hAnsi="Calibri"/>
          <w:sz w:val="24"/>
          <w:szCs w:val="24"/>
          <w:u w:val="single"/>
          <w:lang w:val="en-US"/>
        </w:rPr>
        <w:t>bulleted</w:t>
      </w:r>
      <w:r>
        <w:rPr>
          <w:rFonts w:eastAsia="Calibri" w:cs="Calibri" w:ascii="Calibri" w:hAnsi="Calibri"/>
          <w:sz w:val="24"/>
          <w:szCs w:val="24"/>
          <w:lang w:val="en-US"/>
        </w:rPr>
        <w:t xml:space="preserve"> lists in the appropriate spaces below. </w:t>
      </w:r>
    </w:p>
    <w:p>
      <w:pPr>
        <w:pStyle w:val="Normal"/>
        <w:spacing w:lineRule="auto" w:line="240"/>
        <w:rPr>
          <w:rFonts w:ascii="Calibri" w:hAnsi="Calibri" w:eastAsia="Calibri" w:cs="Calibri"/>
          <w:sz w:val="24"/>
          <w:szCs w:val="24"/>
          <w:lang w:val="en-US"/>
        </w:rPr>
      </w:pPr>
      <w:r>
        <w:rPr>
          <w:rFonts w:eastAsia="Calibri" w:cs="Calibri" w:ascii="Calibri" w:hAnsi="Calibri"/>
          <w:sz w:val="24"/>
          <w:szCs w:val="24"/>
          <w:lang w:val="en-US"/>
        </w:rPr>
      </w:r>
    </w:p>
    <w:tbl>
      <w:tblPr>
        <w:tblW w:w="9216"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4608"/>
        <w:gridCol w:w="4607"/>
      </w:tblGrid>
      <w:tr>
        <w:trPr>
          <w:trHeight w:val="300" w:hRule="atLeast"/>
        </w:trPr>
        <w:tc>
          <w:tcPr>
            <w:tcW w:w="4608" w:type="dxa"/>
            <w:tcBorders>
              <w:top w:val="single" w:sz="8" w:space="0" w:color="000000"/>
              <w:start w:val="single" w:sz="8" w:space="0" w:color="000000"/>
              <w:bottom w:val="single" w:sz="8" w:space="0" w:color="000000"/>
              <w:end w:val="single" w:sz="8" w:space="0" w:color="000000"/>
            </w:tcBorders>
            <w:shd w:color="auto" w:fill="666666" w:val="clear"/>
          </w:tcPr>
          <w:p>
            <w:pPr>
              <w:pStyle w:val="Normal"/>
              <w:widowControl w:val="false"/>
              <w:spacing w:lineRule="auto" w:line="240"/>
              <w:jc w:val="center"/>
              <w:rPr>
                <w:rFonts w:ascii="Calibri" w:hAnsi="Calibri" w:eastAsia="Calibri" w:cs="Calibri"/>
                <w:b/>
                <w:bCs/>
                <w:sz w:val="24"/>
                <w:szCs w:val="24"/>
              </w:rPr>
            </w:pPr>
            <w:r>
              <w:rPr>
                <w:rFonts w:eastAsia="Calibri" w:cs="Calibri" w:ascii="Calibri" w:hAnsi="Calibri"/>
                <w:b/>
                <w:bCs/>
                <w:sz w:val="24"/>
                <w:szCs w:val="24"/>
              </w:rPr>
              <w:t xml:space="preserve">Strengths </w:t>
            </w:r>
          </w:p>
        </w:tc>
        <w:tc>
          <w:tcPr>
            <w:tcW w:w="4607" w:type="dxa"/>
            <w:tcBorders>
              <w:top w:val="single" w:sz="8" w:space="0" w:color="000000"/>
              <w:start w:val="single" w:sz="8" w:space="0" w:color="000000"/>
              <w:bottom w:val="single" w:sz="8" w:space="0" w:color="000000"/>
              <w:end w:val="single" w:sz="8" w:space="0" w:color="000000"/>
            </w:tcBorders>
            <w:shd w:color="auto" w:fill="666666" w:val="clear"/>
          </w:tcPr>
          <w:p>
            <w:pPr>
              <w:pStyle w:val="Normal"/>
              <w:widowControl w:val="false"/>
              <w:spacing w:lineRule="auto" w:line="240"/>
              <w:jc w:val="center"/>
              <w:rPr>
                <w:rFonts w:ascii="Calibri" w:hAnsi="Calibri" w:eastAsia="Calibri" w:cs="Calibri"/>
                <w:b/>
                <w:bCs/>
                <w:sz w:val="24"/>
                <w:szCs w:val="24"/>
              </w:rPr>
            </w:pPr>
            <w:r>
              <w:rPr>
                <w:rFonts w:eastAsia="Calibri" w:cs="Calibri" w:ascii="Calibri" w:hAnsi="Calibri"/>
                <w:b/>
                <w:bCs/>
                <w:sz w:val="24"/>
                <w:szCs w:val="24"/>
              </w:rPr>
              <w:t xml:space="preserve">Weaknesses </w:t>
            </w:r>
          </w:p>
        </w:tc>
      </w:tr>
      <w:tr>
        <w:trPr>
          <w:trHeight w:val="1440" w:hRule="atLeast"/>
        </w:trPr>
        <w:tc>
          <w:tcPr>
            <w:tcW w:w="4608" w:type="dxa"/>
            <w:tcBorders>
              <w:top w:val="single" w:sz="8" w:space="0" w:color="000000"/>
              <w:start w:val="single" w:sz="8" w:space="0" w:color="000000"/>
              <w:bottom w:val="single" w:sz="8" w:space="0" w:color="000000"/>
              <w:end w:val="single" w:sz="8" w:space="0" w:color="000000"/>
            </w:tcBorders>
            <w:shd w:color="auto" w:fill="FFFFFF" w:themeFill="background1" w:val="clear"/>
          </w:tcPr>
          <w:p>
            <w:pPr>
              <w:pStyle w:val="ListParagraph"/>
              <w:numPr>
                <w:ilvl w:val="0"/>
                <w:numId w:val="1"/>
              </w:numPr>
              <w:spacing w:lineRule="auto" w:line="240"/>
              <w:rPr>
                <w:rFonts w:ascii="Arial" w:hAnsi="Arial" w:eastAsia="Calibri" w:cs="Calibri"/>
                <w:sz w:val="24"/>
                <w:szCs w:val="24"/>
                <w:lang w:val="en-US"/>
              </w:rPr>
            </w:pPr>
            <w:r>
              <w:rPr>
                <w:rFonts w:eastAsia="Calibri" w:cs="Calibri" w:ascii="Arial" w:hAnsi="Arial"/>
                <w:sz w:val="24"/>
                <w:szCs w:val="24"/>
                <w:lang w:val="en-US"/>
              </w:rPr>
              <w:t>Unique flavor innovation drives customer loyalty: Quenchbliss’s distinctive flavors like “Bacon and Eggs” attract a niche market, with subscription boxes being a top seller (Scenario). This strengthens brand identity and repeat purchases.</w:t>
            </w:r>
          </w:p>
          <w:p>
            <w:pPr>
              <w:pStyle w:val="BodyText"/>
              <w:numPr>
                <w:ilvl w:val="0"/>
                <w:numId w:val="1"/>
              </w:numPr>
              <w:spacing w:lineRule="auto" w:line="240"/>
              <w:rPr>
                <w:rFonts w:ascii="Arial" w:hAnsi="Arial" w:eastAsia="Calibri" w:cs="Calibri"/>
                <w:sz w:val="24"/>
                <w:szCs w:val="24"/>
                <w:lang w:val="en-US"/>
              </w:rPr>
            </w:pPr>
            <w:r>
              <w:rPr>
                <w:rFonts w:eastAsia="Calibri" w:cs="Calibri" w:ascii="Arial" w:hAnsi="Arial"/>
                <w:sz w:val="24"/>
                <w:szCs w:val="24"/>
                <w:lang w:val="en-US"/>
              </w:rPr>
              <w:t>Flat, organic structure enhances agility: The flexible structure allows quick decision-making, with the CEO engaging in operations (Scenario). This fosters innovation in a dynamic industry.</w:t>
            </w:r>
          </w:p>
          <w:p>
            <w:pPr>
              <w:pStyle w:val="BodyText"/>
              <w:numPr>
                <w:ilvl w:val="0"/>
                <w:numId w:val="1"/>
              </w:numPr>
              <w:spacing w:lineRule="auto" w:line="240"/>
              <w:rPr>
                <w:rFonts w:ascii="Arial" w:hAnsi="Arial" w:eastAsia="Calibri" w:cs="Calibri"/>
                <w:sz w:val="24"/>
                <w:szCs w:val="24"/>
                <w:lang w:val="en-US"/>
              </w:rPr>
            </w:pPr>
            <w:r>
              <w:rPr>
                <w:rFonts w:eastAsia="Calibri" w:cs="Calibri" w:ascii="Arial" w:hAnsi="Arial"/>
                <w:sz w:val="24"/>
                <w:szCs w:val="24"/>
                <w:lang w:val="en-US"/>
              </w:rPr>
              <w:t>Successful Juarez expansion demonstrates market potential: The Juarez distribution center has gained popularity due to low competition (Scenario). This proves international market capability.</w:t>
            </w:r>
          </w:p>
          <w:p>
            <w:pPr>
              <w:pStyle w:val="BodyText"/>
              <w:numPr>
                <w:ilvl w:val="0"/>
                <w:numId w:val="1"/>
              </w:numPr>
              <w:spacing w:lineRule="auto" w:line="240" w:before="0" w:after="140"/>
              <w:rPr>
                <w:rFonts w:ascii="Arial" w:hAnsi="Arial" w:eastAsia="Calibri" w:cs="Calibri"/>
                <w:sz w:val="24"/>
                <w:szCs w:val="24"/>
                <w:lang w:val="en-US"/>
              </w:rPr>
            </w:pPr>
            <w:r>
              <w:rPr>
                <w:rFonts w:eastAsia="Calibri" w:cs="Calibri" w:ascii="Arial" w:hAnsi="Arial"/>
                <w:sz w:val="24"/>
                <w:szCs w:val="24"/>
                <w:lang w:val="en-US"/>
              </w:rPr>
              <w:t>Reliable revenue from traditional flavors: Cola and lemon-lime sodas provide consistent income through restaurants and grocery stores (Scenario). This stabilizes finances.</w:t>
            </w:r>
          </w:p>
        </w:tc>
        <w:tc>
          <w:tcPr>
            <w:tcW w:w="4607" w:type="dxa"/>
            <w:tcBorders>
              <w:top w:val="single" w:sz="8" w:space="0" w:color="000000"/>
              <w:start w:val="single" w:sz="8" w:space="0" w:color="000000"/>
              <w:bottom w:val="single" w:sz="8" w:space="0" w:color="000000"/>
              <w:end w:val="single" w:sz="8" w:space="0" w:color="000000"/>
            </w:tcBorders>
            <w:shd w:color="auto" w:fill="FFFFFF" w:themeFill="background1" w:val="clear"/>
          </w:tcPr>
          <w:p>
            <w:pPr>
              <w:pStyle w:val="ListParagraph"/>
              <w:numPr>
                <w:ilvl w:val="0"/>
                <w:numId w:val="1"/>
              </w:numPr>
              <w:spacing w:lineRule="auto" w:line="240"/>
              <w:rPr>
                <w:rFonts w:ascii="Arial" w:hAnsi="Arial" w:eastAsia="Calibri" w:cs="Calibri"/>
                <w:sz w:val="24"/>
                <w:szCs w:val="24"/>
                <w:lang w:val="en-US"/>
              </w:rPr>
            </w:pPr>
            <w:r>
              <w:rPr>
                <w:rFonts w:eastAsia="Calibri" w:cs="Calibri" w:ascii="Arial" w:hAnsi="Arial"/>
                <w:sz w:val="24"/>
                <w:szCs w:val="24"/>
                <w:lang w:val="en-US"/>
              </w:rPr>
              <w:t>High turnover in production and distribution roles: Non-competitive salaries lead to recruitment challenges and high turnover (Scenario). This disrupts operational stability and increases costs.</w:t>
            </w:r>
          </w:p>
          <w:p>
            <w:pPr>
              <w:pStyle w:val="BodyText"/>
              <w:numPr>
                <w:ilvl w:val="0"/>
                <w:numId w:val="1"/>
              </w:numPr>
              <w:spacing w:lineRule="auto" w:line="240"/>
              <w:rPr>
                <w:rFonts w:ascii="Arial" w:hAnsi="Arial" w:eastAsia="Calibri" w:cs="Calibri"/>
                <w:sz w:val="24"/>
                <w:szCs w:val="24"/>
                <w:lang w:val="en-US"/>
              </w:rPr>
            </w:pPr>
            <w:r>
              <w:rPr>
                <w:rFonts w:eastAsia="Calibri" w:cs="Calibri" w:ascii="Arial" w:hAnsi="Arial"/>
                <w:sz w:val="24"/>
                <w:szCs w:val="24"/>
                <w:lang w:val="en-US"/>
              </w:rPr>
              <w:t>Lost local restaurant chain contract: Expansion efforts led to losing a key local contract (Scenario). This reduces local market presence and revenue.</w:t>
            </w:r>
          </w:p>
          <w:p>
            <w:pPr>
              <w:pStyle w:val="BodyText"/>
              <w:numPr>
                <w:ilvl w:val="0"/>
                <w:numId w:val="1"/>
              </w:numPr>
              <w:spacing w:lineRule="auto" w:line="240"/>
              <w:rPr>
                <w:rFonts w:ascii="Arial" w:hAnsi="Arial" w:eastAsia="Calibri" w:cs="Calibri"/>
                <w:sz w:val="24"/>
                <w:szCs w:val="24"/>
                <w:lang w:val="en-US"/>
              </w:rPr>
            </w:pPr>
            <w:r>
              <w:rPr>
                <w:rFonts w:eastAsia="Calibri" w:cs="Calibri" w:ascii="Arial" w:hAnsi="Arial"/>
                <w:sz w:val="24"/>
                <w:szCs w:val="24"/>
                <w:lang w:val="en-US"/>
              </w:rPr>
              <w:t>Declining subscription box sales: A decrease in subscriptions indicates weakening customer retention (Scenario). This threatens a major revenue stream.</w:t>
            </w:r>
          </w:p>
          <w:p>
            <w:pPr>
              <w:pStyle w:val="BodyText"/>
              <w:numPr>
                <w:ilvl w:val="0"/>
                <w:numId w:val="1"/>
              </w:numPr>
              <w:spacing w:lineRule="auto" w:line="240"/>
              <w:rPr>
                <w:rFonts w:ascii="Arial" w:hAnsi="Arial" w:eastAsia="Calibri" w:cs="Calibri"/>
                <w:sz w:val="24"/>
                <w:szCs w:val="24"/>
                <w:lang w:val="en-US"/>
              </w:rPr>
            </w:pPr>
            <w:r>
              <w:rPr>
                <w:rFonts w:eastAsia="Calibri" w:cs="Calibri" w:ascii="Arial" w:hAnsi="Arial"/>
                <w:sz w:val="24"/>
                <w:szCs w:val="24"/>
                <w:lang w:val="en-US"/>
              </w:rPr>
              <w:t>Internal friction from strategic shifts: Pausing expansion for product development has caused employee dissatisfaction (Scenario). This risks lowering morale.</w:t>
            </w:r>
          </w:p>
          <w:p>
            <w:pPr>
              <w:pStyle w:val="ListParagraph"/>
              <w:numPr>
                <w:ilvl w:val="0"/>
                <w:numId w:val="0"/>
              </w:numPr>
              <w:spacing w:lineRule="auto" w:line="240"/>
              <w:ind w:hanging="0" w:start="720"/>
              <w:rPr>
                <w:rFonts w:ascii="Arial" w:hAnsi="Arial" w:eastAsia="Calibri" w:cs="Calibri"/>
                <w:sz w:val="24"/>
                <w:szCs w:val="24"/>
                <w:lang w:val="en-US"/>
              </w:rPr>
            </w:pPr>
            <w:r>
              <w:rPr>
                <w:rFonts w:eastAsia="Calibri" w:cs="Calibri" w:ascii="Arial" w:hAnsi="Arial"/>
                <w:sz w:val="24"/>
                <w:szCs w:val="24"/>
                <w:lang w:val="en-US"/>
              </w:rPr>
            </w:r>
          </w:p>
        </w:tc>
      </w:tr>
      <w:tr>
        <w:trPr>
          <w:trHeight w:val="300" w:hRule="atLeast"/>
        </w:trPr>
        <w:tc>
          <w:tcPr>
            <w:tcW w:w="4608" w:type="dxa"/>
            <w:tcBorders>
              <w:top w:val="single" w:sz="8" w:space="0" w:color="000000"/>
              <w:start w:val="single" w:sz="8" w:space="0" w:color="000000"/>
              <w:bottom w:val="single" w:sz="8" w:space="0" w:color="000000"/>
              <w:end w:val="single" w:sz="8" w:space="0" w:color="000000"/>
            </w:tcBorders>
            <w:shd w:color="auto" w:fill="666666" w:val="clear"/>
          </w:tcPr>
          <w:p>
            <w:pPr>
              <w:pStyle w:val="Normal"/>
              <w:widowControl w:val="false"/>
              <w:spacing w:lineRule="auto" w:line="240"/>
              <w:jc w:val="center"/>
              <w:rPr>
                <w:rFonts w:ascii="Arial" w:hAnsi="Arial"/>
              </w:rPr>
            </w:pPr>
            <w:r>
              <w:rPr>
                <w:rFonts w:eastAsia="Calibri" w:cs="Calibri" w:ascii="Arial" w:hAnsi="Arial"/>
                <w:b/>
                <w:bCs/>
                <w:sz w:val="24"/>
                <w:szCs w:val="24"/>
              </w:rPr>
              <w:t xml:space="preserve">Opportunities </w:t>
            </w:r>
          </w:p>
        </w:tc>
        <w:tc>
          <w:tcPr>
            <w:tcW w:w="4607" w:type="dxa"/>
            <w:tcBorders>
              <w:top w:val="single" w:sz="8" w:space="0" w:color="000000"/>
              <w:start w:val="single" w:sz="8" w:space="0" w:color="000000"/>
              <w:bottom w:val="single" w:sz="8" w:space="0" w:color="000000"/>
              <w:end w:val="single" w:sz="8" w:space="0" w:color="000000"/>
            </w:tcBorders>
            <w:shd w:color="auto" w:fill="666666" w:val="clear"/>
          </w:tcPr>
          <w:p>
            <w:pPr>
              <w:pStyle w:val="Normal"/>
              <w:widowControl w:val="false"/>
              <w:spacing w:lineRule="auto" w:line="240"/>
              <w:jc w:val="center"/>
              <w:rPr>
                <w:rFonts w:ascii="Arial" w:hAnsi="Arial"/>
              </w:rPr>
            </w:pPr>
            <w:r>
              <w:rPr>
                <w:rFonts w:eastAsia="Calibri" w:cs="Calibri" w:ascii="Arial" w:hAnsi="Arial"/>
                <w:b/>
                <w:bCs/>
                <w:sz w:val="24"/>
                <w:szCs w:val="24"/>
              </w:rPr>
              <w:t xml:space="preserve">Threats </w:t>
            </w:r>
          </w:p>
        </w:tc>
      </w:tr>
      <w:tr>
        <w:trPr>
          <w:trHeight w:val="1440" w:hRule="atLeast"/>
        </w:trPr>
        <w:tc>
          <w:tcPr>
            <w:tcW w:w="4608" w:type="dxa"/>
            <w:tcBorders>
              <w:top w:val="single" w:sz="8" w:space="0" w:color="000000"/>
              <w:start w:val="single" w:sz="8" w:space="0" w:color="000000"/>
              <w:bottom w:val="single" w:sz="8" w:space="0" w:color="000000"/>
              <w:end w:val="single" w:sz="8" w:space="0" w:color="000000"/>
            </w:tcBorders>
            <w:shd w:color="auto" w:fill="FFFFFF" w:themeFill="background1" w:val="clear"/>
          </w:tcPr>
          <w:p>
            <w:pPr>
              <w:pStyle w:val="ListParagraph"/>
              <w:numPr>
                <w:ilvl w:val="0"/>
                <w:numId w:val="1"/>
              </w:numPr>
              <w:spacing w:lineRule="auto" w:line="240"/>
              <w:rPr>
                <w:rFonts w:ascii="Arial" w:hAnsi="Arial" w:eastAsia="Calibri" w:cs="Calibri"/>
                <w:sz w:val="24"/>
                <w:szCs w:val="24"/>
                <w:lang w:val="en-US"/>
              </w:rPr>
            </w:pPr>
            <w:r>
              <w:rPr>
                <w:rFonts w:eastAsia="Calibri" w:cs="Calibri" w:ascii="Arial" w:hAnsi="Arial"/>
                <w:sz w:val="24"/>
                <w:szCs w:val="24"/>
                <w:lang w:val="en-US"/>
              </w:rPr>
              <w:t>Growing demand for craft beverages: The craft soda market is expanding as consumers seek artisanal products (Beverage Industry, 2025). This positions Quenchbliss to capture new customers.</w:t>
            </w:r>
          </w:p>
          <w:p>
            <w:pPr>
              <w:pStyle w:val="BodyText"/>
              <w:numPr>
                <w:ilvl w:val="0"/>
                <w:numId w:val="1"/>
              </w:numPr>
              <w:spacing w:lineRule="auto" w:line="240"/>
              <w:rPr>
                <w:rFonts w:ascii="Arial" w:hAnsi="Arial" w:eastAsia="Calibri" w:cs="Calibri"/>
                <w:sz w:val="24"/>
                <w:szCs w:val="24"/>
                <w:lang w:val="en-US"/>
              </w:rPr>
            </w:pPr>
            <w:r>
              <w:rPr>
                <w:rFonts w:eastAsia="Calibri" w:cs="Calibri" w:ascii="Arial" w:hAnsi="Arial"/>
                <w:sz w:val="24"/>
                <w:szCs w:val="24"/>
                <w:lang w:val="en-US"/>
              </w:rPr>
              <w:t>Expansion into Caribbean markets: Markets like Santo Domingo have low competition for craft sodas (Scenario). This offers growth potential similar to Juarez.</w:t>
            </w:r>
          </w:p>
          <w:p>
            <w:pPr>
              <w:pStyle w:val="BodyText"/>
              <w:numPr>
                <w:ilvl w:val="0"/>
                <w:numId w:val="1"/>
              </w:numPr>
              <w:spacing w:lineRule="auto" w:line="240"/>
              <w:rPr>
                <w:rFonts w:ascii="Arial" w:hAnsi="Arial" w:eastAsia="Calibri" w:cs="Calibri"/>
                <w:sz w:val="24"/>
                <w:szCs w:val="24"/>
                <w:lang w:val="en-US"/>
              </w:rPr>
            </w:pPr>
            <w:r>
              <w:rPr>
                <w:rFonts w:eastAsia="Calibri" w:cs="Calibri" w:ascii="Arial" w:hAnsi="Arial"/>
                <w:sz w:val="24"/>
                <w:szCs w:val="24"/>
                <w:lang w:val="en-US"/>
              </w:rPr>
              <w:t>Leveraging social media for brand visibility: Social media buzz around novel flavors can boost subscriptions and store visits (Mintel, 2024). This enhances marketing reach.</w:t>
            </w:r>
          </w:p>
          <w:p>
            <w:pPr>
              <w:pStyle w:val="BodyText"/>
              <w:numPr>
                <w:ilvl w:val="0"/>
                <w:numId w:val="1"/>
              </w:numPr>
              <w:spacing w:lineRule="auto" w:line="240" w:before="0" w:after="140"/>
              <w:rPr>
                <w:rFonts w:ascii="Arial" w:hAnsi="Arial" w:eastAsia="Calibri" w:cs="Calibri"/>
                <w:sz w:val="24"/>
                <w:szCs w:val="24"/>
                <w:lang w:val="en-US"/>
              </w:rPr>
            </w:pPr>
            <w:r>
              <w:rPr>
                <w:rFonts w:eastAsia="Calibri" w:cs="Calibri" w:ascii="Arial" w:hAnsi="Arial"/>
                <w:sz w:val="24"/>
                <w:szCs w:val="24"/>
                <w:lang w:val="en-US"/>
              </w:rPr>
              <w:t>Partnerships with local entertainment venues: El Paso’s “entertainment shopping” scene offers co-branded event opportunities (El Paso Chamber, 2024). This can drive foot traffic.</w:t>
            </w:r>
          </w:p>
        </w:tc>
        <w:tc>
          <w:tcPr>
            <w:tcW w:w="4607" w:type="dxa"/>
            <w:tcBorders>
              <w:top w:val="single" w:sz="8" w:space="0" w:color="000000"/>
              <w:start w:val="single" w:sz="8" w:space="0" w:color="000000"/>
              <w:bottom w:val="single" w:sz="8" w:space="0" w:color="000000"/>
              <w:end w:val="single" w:sz="8" w:space="0" w:color="000000"/>
            </w:tcBorders>
            <w:shd w:color="auto" w:fill="FFFFFF" w:themeFill="background1" w:val="clear"/>
          </w:tcPr>
          <w:p>
            <w:pPr>
              <w:pStyle w:val="ListParagraph"/>
              <w:numPr>
                <w:ilvl w:val="0"/>
                <w:numId w:val="1"/>
              </w:numPr>
              <w:spacing w:lineRule="auto" w:line="240"/>
              <w:rPr>
                <w:rFonts w:ascii="Arial" w:hAnsi="Arial" w:eastAsia="Calibri" w:cs="Calibri"/>
                <w:sz w:val="24"/>
                <w:szCs w:val="24"/>
                <w:lang w:val="en-US"/>
              </w:rPr>
            </w:pPr>
            <w:r>
              <w:rPr>
                <w:rFonts w:eastAsia="Calibri" w:cs="Calibri" w:ascii="Arial" w:hAnsi="Arial"/>
                <w:sz w:val="24"/>
                <w:szCs w:val="24"/>
                <w:lang w:val="en-US"/>
              </w:rPr>
              <w:t>Increased competition from national brands: Brands like Jones Soda are expanding in the Southwest, threatening market share (Beverage Industry, 2025). This challenges Quenchbliss’s niche positioning.</w:t>
            </w:r>
          </w:p>
          <w:p>
            <w:pPr>
              <w:pStyle w:val="BodyText"/>
              <w:numPr>
                <w:ilvl w:val="0"/>
                <w:numId w:val="1"/>
              </w:numPr>
              <w:spacing w:lineRule="auto" w:line="240"/>
              <w:rPr>
                <w:rFonts w:ascii="Arial" w:hAnsi="Arial" w:eastAsia="Calibri" w:cs="Calibri"/>
                <w:sz w:val="24"/>
                <w:szCs w:val="24"/>
                <w:lang w:val="en-US"/>
              </w:rPr>
            </w:pPr>
            <w:r>
              <w:rPr>
                <w:rFonts w:eastAsia="Calibri" w:cs="Calibri" w:ascii="Arial" w:hAnsi="Arial"/>
                <w:sz w:val="24"/>
                <w:szCs w:val="24"/>
                <w:lang w:val="en-US"/>
              </w:rPr>
              <w:t>Shifting consumer preferences: Younger consumers prefer healthier beverages, potentially reducing demand for sugary sodas (Mintel, 2024). This risks declining sales.</w:t>
            </w:r>
          </w:p>
          <w:p>
            <w:pPr>
              <w:pStyle w:val="BodyText"/>
              <w:numPr>
                <w:ilvl w:val="0"/>
                <w:numId w:val="1"/>
              </w:numPr>
              <w:spacing w:lineRule="auto" w:line="240"/>
              <w:rPr>
                <w:rFonts w:ascii="Arial" w:hAnsi="Arial" w:eastAsia="Calibri" w:cs="Calibri"/>
                <w:sz w:val="24"/>
                <w:szCs w:val="24"/>
                <w:lang w:val="en-US"/>
              </w:rPr>
            </w:pPr>
            <w:r>
              <w:rPr>
                <w:rFonts w:eastAsia="Calibri" w:cs="Calibri" w:ascii="Arial" w:hAnsi="Arial"/>
                <w:sz w:val="24"/>
                <w:szCs w:val="24"/>
                <w:lang w:val="en-US"/>
              </w:rPr>
              <w:t>Economic downturn in El Paso: A slowdown in local retail spending could reduce store visits (El Paso Chamber, 2024). This threatens local revenue.</w:t>
            </w:r>
          </w:p>
          <w:p>
            <w:pPr>
              <w:pStyle w:val="BodyText"/>
              <w:numPr>
                <w:ilvl w:val="0"/>
                <w:numId w:val="1"/>
              </w:numPr>
              <w:spacing w:lineRule="auto" w:line="240" w:before="0" w:after="140"/>
              <w:rPr>
                <w:rFonts w:ascii="Arial" w:hAnsi="Arial" w:eastAsia="Calibri" w:cs="Calibri"/>
                <w:sz w:val="24"/>
                <w:szCs w:val="24"/>
                <w:lang w:val="en-US"/>
              </w:rPr>
            </w:pPr>
            <w:r>
              <w:rPr>
                <w:rFonts w:eastAsia="Calibri" w:cs="Calibri" w:ascii="Arial" w:hAnsi="Arial"/>
                <w:sz w:val="24"/>
                <w:szCs w:val="24"/>
                <w:lang w:val="en-US"/>
              </w:rPr>
              <w:t>Rising labor costs in El Paso and Juarez: Increasing wages could strain budgets, exacerbating turnover issues (Indeed, 2025). This impacts financial stability.</w:t>
            </w:r>
          </w:p>
        </w:tc>
      </w:tr>
    </w:tbl>
    <w:p>
      <w:pPr>
        <w:pStyle w:val="Normal"/>
        <w:spacing w:lineRule="auto" w:line="240"/>
        <w:rPr>
          <w:rFonts w:ascii="Calibri" w:hAnsi="Calibri" w:eastAsia="Calibri" w:cs="Calibri"/>
          <w:b/>
          <w:bCs/>
          <w:sz w:val="24"/>
          <w:szCs w:val="24"/>
        </w:rPr>
      </w:pPr>
      <w:r>
        <w:rPr>
          <w:rFonts w:eastAsia="Calibri" w:cs="Calibri" w:ascii="Calibri" w:hAnsi="Calibri"/>
          <w:b/>
          <w:bCs/>
          <w:sz w:val="24"/>
          <w:szCs w:val="24"/>
        </w:rPr>
      </w:r>
    </w:p>
    <w:p>
      <w:pPr>
        <w:pStyle w:val="Normal"/>
        <w:rPr>
          <w:rFonts w:ascii="Calibri" w:hAnsi="Calibri" w:eastAsia="Calibri" w:cs="Calibri"/>
          <w:b/>
          <w:bCs/>
          <w:sz w:val="24"/>
          <w:szCs w:val="24"/>
        </w:rPr>
      </w:pPr>
      <w:r>
        <w:rPr>
          <w:rFonts w:eastAsia="Calibri" w:cs="Calibri" w:ascii="Calibri" w:hAnsi="Calibri"/>
          <w:b/>
          <w:bCs/>
          <w:sz w:val="24"/>
          <w:szCs w:val="24"/>
        </w:rPr>
        <w:t>IMPACT</w:t>
      </w:r>
    </w:p>
    <w:p>
      <w:pPr>
        <w:pStyle w:val="Normal"/>
        <w:jc w:val="both"/>
        <w:rPr>
          <w:rFonts w:ascii="Calibri" w:hAnsi="Calibri" w:eastAsia="Calibri" w:cs="Calibri"/>
          <w:sz w:val="24"/>
          <w:szCs w:val="24"/>
        </w:rPr>
      </w:pPr>
      <w:r>
        <w:rPr>
          <w:rFonts w:eastAsia="Calibri" w:cs="Calibri" w:ascii="Calibri" w:hAnsi="Calibri"/>
          <w:sz w:val="24"/>
          <w:szCs w:val="24"/>
        </w:rPr>
        <w:t>Select at least two items identified in your SWOT Analysis that are likely to have an effect on aspects of the internal organization, such as structure, culture, stability, and complexity. Write 2-4 paragraphs that explain why each is important and what effect it will have on the organization. Be sure to include citations from your outside references to support your paragraphs.</w:t>
      </w:r>
    </w:p>
    <w:p>
      <w:pPr>
        <w:pStyle w:val="Normal"/>
        <w:rPr>
          <w:rFonts w:ascii="Calibri" w:hAnsi="Calibri" w:eastAsia="Calibri" w:cs="Calibri"/>
          <w:sz w:val="24"/>
          <w:szCs w:val="24"/>
        </w:rPr>
      </w:pPr>
      <w:r>
        <w:rPr>
          <w:rFonts w:eastAsia="Calibri" w:cs="Calibri" w:ascii="Calibri" w:hAnsi="Calibri"/>
          <w:sz w:val="24"/>
          <w:szCs w:val="24"/>
        </w:rPr>
      </w:r>
    </w:p>
    <w:tbl>
      <w:tblPr>
        <w:tblStyle w:val="TableGrid"/>
        <w:tblW w:w="93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40"/>
      </w:tblGrid>
      <w:tr>
        <w:trPr>
          <w:trHeight w:val="3510" w:hRule="atLeast"/>
        </w:trPr>
        <w:tc>
          <w:tcPr>
            <w:tcW w:w="9340"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ascii="Calibri" w:hAnsi="Calibri" w:eastAsia="Calibri" w:cs="Calibri"/>
                <w:b w:val="false"/>
                <w:bCs w:val="false"/>
                <w:kern w:val="0"/>
                <w:sz w:val="24"/>
                <w:szCs w:val="24"/>
                <w:lang w:val="en-US" w:eastAsia="ja-JP" w:bidi="ar-SA"/>
              </w:rPr>
            </w:pPr>
            <w:r>
              <w:rPr>
                <w:rFonts w:eastAsia="Calibri" w:cs="Calibri" w:ascii="Calibri" w:hAnsi="Calibri"/>
                <w:b w:val="false"/>
                <w:bCs w:val="false"/>
                <w:kern w:val="0"/>
                <w:sz w:val="24"/>
                <w:szCs w:val="24"/>
                <w:lang w:val="en-US" w:eastAsia="ja-JP" w:bidi="ar-SA"/>
              </w:rPr>
              <w:t>High Turnover in Production and Distribution Roles</w:t>
            </w:r>
          </w:p>
          <w:p>
            <w:pPr>
              <w:pStyle w:val="Normal"/>
              <w:widowControl/>
              <w:spacing w:lineRule="auto" w:line="240" w:before="0" w:after="0"/>
              <w:jc w:val="start"/>
              <w:rPr>
                <w:rFonts w:ascii="Calibri" w:hAnsi="Calibri" w:eastAsia="Calibri" w:cs="Calibri"/>
                <w:b w:val="false"/>
                <w:bCs w:val="false"/>
                <w:kern w:val="0"/>
                <w:sz w:val="24"/>
                <w:szCs w:val="24"/>
                <w:lang w:val="en-US" w:eastAsia="ja-JP" w:bidi="ar-SA"/>
              </w:rPr>
            </w:pPr>
            <w:r>
              <w:rPr>
                <w:rFonts w:eastAsia="Calibri" w:cs="Calibri" w:ascii="Calibri" w:hAnsi="Calibri"/>
                <w:b w:val="false"/>
                <w:bCs w:val="false"/>
                <w:kern w:val="0"/>
                <w:sz w:val="24"/>
                <w:szCs w:val="24"/>
                <w:lang w:val="en-US" w:eastAsia="ja-JP" w:bidi="ar-SA"/>
              </w:rPr>
              <w:t>High turnover in production and distribution roles is a pressing concern for Quenchbliss, as it undermines the operational stability required for consistent production of craft sodas. The company’s flat, organic structure depends on employees’ ability to handle multiple roles, fostering agility and innovation (Scenario). However, frequent turnover necessitates ongoing training, which increases costs and risks quality inconsistencies, particularly detrimental for a brand built on unique flavors like “Thanksgiving Turkey.” This instability can delay product development cycles, weakening Quenchbliss’s ability to compete in the fast-paced craft beverage market. Furthermore, turnover disrupts the clan-like culture, characterized by trust and collaboration, as new hires may struggle to integrate into this dynamic. This can exacerbate existing internal friction from strategic shifts, lowering morale and engagement. Organizational culture significantly influences employee retention and innovation, and disruptions can hinder long-term success (Sophia Learning, n.d., Corporate Cultures). Addressing turnover is essential to maintain Quenchbliss’s operational efficiency and cultural integrity.</w:t>
            </w:r>
          </w:p>
          <w:p>
            <w:pPr>
              <w:pStyle w:val="Normal"/>
              <w:widowControl/>
              <w:spacing w:lineRule="auto" w:line="240" w:before="0" w:after="0"/>
              <w:jc w:val="start"/>
              <w:rPr>
                <w:rFonts w:ascii="Calibri" w:hAnsi="Calibri" w:eastAsia="Calibri" w:cs="Calibri"/>
                <w:b w:val="false"/>
                <w:bCs w:val="false"/>
                <w:kern w:val="0"/>
                <w:sz w:val="24"/>
                <w:szCs w:val="24"/>
                <w:lang w:val="en-US" w:eastAsia="ja-JP" w:bidi="ar-SA"/>
              </w:rPr>
            </w:pPr>
            <w:r>
              <w:rPr>
                <w:rFonts w:eastAsia="Calibri" w:cs="Calibri" w:ascii="Calibri" w:hAnsi="Calibri"/>
                <w:b w:val="false"/>
                <w:bCs w:val="false"/>
                <w:kern w:val="0"/>
                <w:sz w:val="24"/>
                <w:szCs w:val="24"/>
                <w:lang w:val="en-US" w:eastAsia="ja-JP" w:bidi="ar-SA"/>
              </w:rPr>
            </w:r>
          </w:p>
          <w:p>
            <w:pPr>
              <w:pStyle w:val="Normal"/>
              <w:widowControl/>
              <w:spacing w:lineRule="auto" w:line="240" w:before="0" w:after="0"/>
              <w:jc w:val="start"/>
              <w:rPr>
                <w:rFonts w:ascii="Calibri" w:hAnsi="Calibri" w:eastAsia="Calibri" w:cs="Calibri"/>
                <w:b w:val="false"/>
                <w:bCs w:val="false"/>
                <w:kern w:val="0"/>
                <w:sz w:val="24"/>
                <w:szCs w:val="24"/>
                <w:lang w:val="en-US" w:eastAsia="ja-JP" w:bidi="ar-SA"/>
              </w:rPr>
            </w:pPr>
            <w:r>
              <w:rPr>
                <w:rFonts w:eastAsia="Calibri" w:cs="Calibri" w:ascii="Calibri" w:hAnsi="Calibri"/>
                <w:b w:val="false"/>
                <w:bCs w:val="false"/>
                <w:kern w:val="0"/>
                <w:sz w:val="24"/>
                <w:szCs w:val="24"/>
                <w:lang w:val="en-US" w:eastAsia="ja-JP" w:bidi="ar-SA"/>
              </w:rPr>
              <w:t>Expansion into Caribbean Markets</w:t>
            </w:r>
          </w:p>
          <w:p>
            <w:pPr>
              <w:pStyle w:val="Normal"/>
              <w:widowControl/>
              <w:spacing w:lineRule="auto" w:line="240" w:before="0" w:after="0"/>
              <w:jc w:val="start"/>
              <w:rPr>
                <w:rFonts w:ascii="Calibri" w:hAnsi="Calibri" w:eastAsia="Calibri" w:cs="Calibri"/>
                <w:b w:val="false"/>
                <w:bCs w:val="false"/>
                <w:kern w:val="0"/>
                <w:sz w:val="24"/>
                <w:szCs w:val="24"/>
                <w:lang w:val="en-US" w:eastAsia="ja-JP" w:bidi="ar-SA"/>
              </w:rPr>
            </w:pPr>
            <w:r>
              <w:rPr>
                <w:rFonts w:eastAsia="Calibri" w:cs="Calibri" w:ascii="Calibri" w:hAnsi="Calibri"/>
                <w:b w:val="false"/>
                <w:bCs w:val="false"/>
                <w:kern w:val="0"/>
                <w:sz w:val="24"/>
                <w:szCs w:val="24"/>
                <w:lang w:val="en-US" w:eastAsia="ja-JP" w:bidi="ar-SA"/>
              </w:rPr>
              <w:t>The opportunity to expand into Caribbean markets introduces significant growth potential but also increases organizational complexity, impacting Quenchbliss’s structure and culture. Currently, Quenchbliss operates from a single El Paso location, enabling tight coordination and rapid decision-making within its flat structure. International expansion requires new distribution networks, compliance with diverse regulations, and management of a dispersed workforce, potentially necessitating a more formalized structure, such as a divisional or matrix design (Sophia Learning, n.d., Organizational Designs). This shift could reduce the flexibility that employees value, potentially leading to resistance and straining the clan-like culture that emphasizes collaboration and personal relationships. However, successful expansion could reinforce Quenchbliss’s innovative identity, fostering pride and engagement among employees. Research suggests that managing organizational change effectively, such as through Kotter’s change model, ensures alignment with core values during growth (Sophia Learning, n.d., Managing Change). Strategic planning is crucial to balance expansion with cultural cohesion.</w:t>
            </w:r>
          </w:p>
        </w:tc>
      </w:tr>
    </w:tbl>
    <w:p>
      <w:pPr>
        <w:pStyle w:val="Normal"/>
        <w:rPr>
          <w:rFonts w:ascii="Calibri" w:hAnsi="Calibri" w:eastAsia="Calibri" w:cs="Calibri"/>
          <w:b/>
          <w:bCs/>
          <w:sz w:val="24"/>
          <w:szCs w:val="24"/>
        </w:rPr>
      </w:pPr>
      <w:r>
        <w:rPr>
          <w:rFonts w:eastAsia="Calibri" w:cs="Calibri" w:ascii="Calibri" w:hAnsi="Calibri"/>
          <w:b/>
          <w:bCs/>
          <w:sz w:val="24"/>
          <w:szCs w:val="24"/>
        </w:rPr>
      </w:r>
    </w:p>
    <w:p>
      <w:pPr>
        <w:pStyle w:val="Normal"/>
        <w:rPr>
          <w:rFonts w:ascii="Calibri" w:hAnsi="Calibri" w:eastAsia="Calibri" w:cs="Calibri"/>
          <w:b/>
          <w:bCs/>
          <w:sz w:val="24"/>
          <w:szCs w:val="24"/>
        </w:rPr>
      </w:pPr>
      <w:r>
        <w:rPr>
          <w:rFonts w:eastAsia="Calibri" w:cs="Calibri" w:ascii="Calibri" w:hAnsi="Calibri"/>
          <w:b/>
          <w:bCs/>
          <w:sz w:val="24"/>
          <w:szCs w:val="24"/>
        </w:rPr>
      </w:r>
    </w:p>
    <w:p>
      <w:pPr>
        <w:pStyle w:val="Normal"/>
        <w:rPr>
          <w:rFonts w:ascii="Calibri" w:hAnsi="Calibri" w:eastAsia="Calibri" w:cs="Calibri"/>
          <w:b/>
          <w:bCs/>
          <w:sz w:val="24"/>
          <w:szCs w:val="24"/>
        </w:rPr>
      </w:pPr>
      <w:r>
        <w:rPr>
          <w:rFonts w:eastAsia="Calibri" w:cs="Calibri" w:ascii="Calibri" w:hAnsi="Calibri"/>
          <w:b/>
          <w:bCs/>
          <w:sz w:val="24"/>
          <w:szCs w:val="24"/>
        </w:rPr>
        <w:t>RECOMMENDATIONS</w:t>
      </w:r>
    </w:p>
    <w:p>
      <w:pPr>
        <w:pStyle w:val="Normal"/>
        <w:rPr>
          <w:rFonts w:ascii="Calibri" w:hAnsi="Calibri" w:eastAsia="Calibri" w:cs="Calibri"/>
          <w:sz w:val="24"/>
          <w:szCs w:val="24"/>
        </w:rPr>
      </w:pPr>
      <w:r>
        <w:rPr>
          <w:shd w:fill="FFFFFF" w:val="clear"/>
        </w:rPr>
        <w:t xml:space="preserve">Write 2-4 paragraphs with recommendations for Quenchbliss based on the impact statements above. Each recommendation should include a brief risk analysis to anticipate potential pitfalls and propose measures to address these risks. </w:t>
      </w:r>
      <w:r>
        <w:rPr>
          <w:rFonts w:eastAsia="Calibri" w:cs="Calibri" w:ascii="Calibri" w:hAnsi="Calibri"/>
          <w:sz w:val="24"/>
          <w:szCs w:val="24"/>
        </w:rPr>
        <w:t>Be sure to include citations from your outside references to support your paragraphs.</w:t>
      </w:r>
    </w:p>
    <w:p>
      <w:pPr>
        <w:pStyle w:val="Normal"/>
        <w:rPr>
          <w:rFonts w:ascii="Calibri" w:hAnsi="Calibri" w:eastAsia="Calibri" w:cs="Calibri"/>
          <w:b/>
          <w:bCs/>
          <w:sz w:val="24"/>
          <w:szCs w:val="24"/>
        </w:rPr>
      </w:pPr>
      <w:r>
        <w:rPr>
          <w:rFonts w:eastAsia="Calibri" w:cs="Calibri" w:ascii="Calibri" w:hAnsi="Calibri"/>
          <w:b/>
          <w:bCs/>
          <w:sz w:val="24"/>
          <w:szCs w:val="24"/>
        </w:rPr>
      </w:r>
    </w:p>
    <w:tbl>
      <w:tblPr>
        <w:tblStyle w:val="TableGrid"/>
        <w:tblW w:w="93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40"/>
      </w:tblGrid>
      <w:tr>
        <w:trPr>
          <w:trHeight w:val="2880" w:hRule="atLeast"/>
        </w:trPr>
        <w:tc>
          <w:tcPr>
            <w:tcW w:w="9340" w:type="dxa"/>
            <w:tcBorders>
              <w:top w:val="single" w:sz="8" w:space="0" w:color="000000"/>
              <w:start w:val="single" w:sz="8" w:space="0" w:color="000000"/>
              <w:bottom w:val="single" w:sz="8" w:space="0" w:color="000000"/>
              <w:end w:val="single" w:sz="8" w:space="0" w:color="000000"/>
            </w:tcBorders>
          </w:tcPr>
          <w:p>
            <w:pPr>
              <w:pStyle w:val="BodyText"/>
              <w:widowControl/>
              <w:spacing w:lineRule="auto" w:line="240" w:before="0" w:after="0"/>
              <w:jc w:val="start"/>
              <w:rPr>
                <w:rFonts w:ascii="Arial" w:hAnsi="Arial" w:eastAsia="Calibri" w:cs="Calibri"/>
                <w:b w:val="false"/>
                <w:bCs w:val="false"/>
                <w:kern w:val="0"/>
                <w:sz w:val="24"/>
                <w:szCs w:val="24"/>
                <w:lang w:val="en-US" w:eastAsia="ja-JP" w:bidi="ar-SA"/>
              </w:rPr>
            </w:pPr>
            <w:r>
              <w:rPr>
                <w:rFonts w:eastAsia="Calibri" w:cs="Calibri" w:ascii="Arial" w:hAnsi="Arial"/>
                <w:b w:val="false"/>
                <w:bCs w:val="false"/>
                <w:kern w:val="0"/>
                <w:sz w:val="24"/>
                <w:szCs w:val="24"/>
                <w:lang w:val="en-US" w:eastAsia="ja-JP" w:bidi="ar-SA"/>
              </w:rPr>
              <w:t xml:space="preserve">     </w:t>
            </w:r>
            <w:r>
              <w:rPr>
                <w:rFonts w:eastAsia="Calibri" w:cs="Calibri" w:ascii="Arial" w:hAnsi="Arial"/>
                <w:b w:val="false"/>
                <w:bCs w:val="false"/>
                <w:kern w:val="0"/>
                <w:sz w:val="24"/>
                <w:szCs w:val="24"/>
                <w:lang w:val="en-US" w:eastAsia="ja-JP" w:bidi="ar-SA"/>
              </w:rPr>
              <w:t>To address the high turnover in production and distribution roles, Quenchbliss should benchmark salaries against industry standards in El Paso and Juarez, using data from platforms like Indeed (2025), and implement competitive wages with performance-based bonuses tied to production goals. This leverages the company’s strength of reliable revenue from traditional flavors to fund salary adjustments, stabilizing operations and preserving the clan-like culture disrupted by turnover. Fair compensation enhances employee engagement, aligning with diversity principles that emphasize equitable treatment to foster loyalty (Sophia Learning, n.d., Diversity and Its Impact on Companies). A stable workforce ensures consistent product quality, critical for maintaining customer loyalty driven by unique flavors. Risk Analysis: Increasing salaries may strain finances, particularly with declining subscription sales. Mitigation: Phase salary increases over 12 months, prioritizing high-impact roles, and offset costs by raising subscription prices by 5%, leveraging the strength of unique flavors to maintain customer retention (Mintel, 2024). Regular employee feedback sessions can monitor morale and adjust compensation strategies, ensuring cultural alignment.</w:t>
            </w:r>
          </w:p>
          <w:p>
            <w:pPr>
              <w:pStyle w:val="Normal"/>
              <w:widowControl/>
              <w:spacing w:lineRule="auto" w:line="240" w:before="0" w:after="0"/>
              <w:jc w:val="start"/>
              <w:rPr>
                <w:rFonts w:ascii="Arial" w:hAnsi="Arial" w:eastAsia="Calibri" w:cs="Calibri"/>
                <w:b w:val="false"/>
                <w:bCs w:val="false"/>
                <w:kern w:val="0"/>
                <w:sz w:val="24"/>
                <w:szCs w:val="24"/>
                <w:lang w:val="en-US" w:eastAsia="ja-JP" w:bidi="ar-SA"/>
              </w:rPr>
            </w:pPr>
            <w:r>
              <w:rPr>
                <w:rFonts w:eastAsia="Calibri" w:cs="Calibri" w:ascii="Arial" w:hAnsi="Arial"/>
                <w:b w:val="false"/>
                <w:bCs w:val="false"/>
                <w:kern w:val="0"/>
                <w:sz w:val="24"/>
                <w:szCs w:val="24"/>
                <w:lang w:val="en-US" w:eastAsia="ja-JP" w:bidi="ar-SA"/>
              </w:rPr>
            </w:r>
          </w:p>
          <w:p>
            <w:pPr>
              <w:pStyle w:val="BodyText"/>
              <w:widowControl/>
              <w:spacing w:lineRule="auto" w:line="240" w:before="0" w:after="0"/>
              <w:jc w:val="start"/>
              <w:rPr>
                <w:rFonts w:ascii="Arial" w:hAnsi="Arial" w:eastAsia="Calibri" w:cs="Calibri"/>
                <w:b w:val="false"/>
                <w:bCs w:val="false"/>
                <w:kern w:val="0"/>
                <w:sz w:val="24"/>
                <w:szCs w:val="24"/>
                <w:lang w:val="en-US" w:eastAsia="ja-JP" w:bidi="ar-SA"/>
              </w:rPr>
            </w:pPr>
            <w:r>
              <w:rPr>
                <w:rFonts w:eastAsia="Calibri" w:cs="Calibri" w:ascii="Arial" w:hAnsi="Arial"/>
                <w:b w:val="false"/>
                <w:bCs w:val="false"/>
                <w:kern w:val="0"/>
                <w:sz w:val="24"/>
                <w:szCs w:val="24"/>
                <w:lang w:val="en-US" w:eastAsia="ja-JP" w:bidi="ar-SA"/>
              </w:rPr>
              <w:t>To capitalize on the opportunity for Caribbean market expansion while managing increased organizational complexity, Quenchbliss should implement a participatory planning process using Appreciative Inquiry, involving employees in defining goals and designing expansion strategies. This leverages the flat, organic structure’s agility to foster collaboration and maintain the clan-like culture during growth. Appreciative Inquiry encourages employee buy-in, reducing resistance to structural changes like adopting a matrix design for international operations (Sophia Learning, n.d., Appreciative Inquiry). Expansion can enhance Quenchbliss’s innovative identity, boosting pride and engagement. Servigroup (2023) highlights that inclusive planning mitigates cultural challenges in international markets (International Expansion Challenges). Risk Analysis: Participatory processes may slow decision-making, delaying expansion, and employees may resist structural changes. Mitigation: Set a 3-month planning timeline with clear milestones, and use Kotter’s change model to communicate the expansion vision, ensuring alignment with Quenchbliss’s values (Sophia Learning, n.d., Managing Change). Pilot the expansion in one market (e.g., Santo Domingo) to test logistics and refine processes.</w:t>
            </w:r>
          </w:p>
          <w:p>
            <w:pPr>
              <w:pStyle w:val="Normal"/>
              <w:widowControl/>
              <w:spacing w:lineRule="auto" w:line="240" w:before="0" w:after="0"/>
              <w:jc w:val="start"/>
              <w:rPr>
                <w:rFonts w:ascii="Arial" w:hAnsi="Arial" w:eastAsia="Calibri" w:cs="Calibri"/>
                <w:b/>
                <w:bCs/>
                <w:kern w:val="0"/>
                <w:sz w:val="24"/>
                <w:szCs w:val="24"/>
                <w:lang w:val="en-US" w:eastAsia="ja-JP" w:bidi="ar-SA"/>
              </w:rPr>
            </w:pPr>
            <w:r>
              <w:rPr>
                <w:rFonts w:eastAsia="Calibri" w:cs="Calibri" w:ascii="Arial" w:hAnsi="Arial"/>
                <w:b/>
                <w:bCs/>
                <w:kern w:val="0"/>
                <w:sz w:val="24"/>
                <w:szCs w:val="24"/>
                <w:lang w:val="en-US" w:eastAsia="ja-JP" w:bidi="ar-SA"/>
              </w:rPr>
            </w:r>
          </w:p>
        </w:tc>
      </w:tr>
    </w:tbl>
    <w:p>
      <w:pPr>
        <w:pStyle w:val="Normal"/>
        <w:rPr>
          <w:rFonts w:ascii="Calibri" w:hAnsi="Calibri" w:eastAsia="Calibri" w:cs="Calibri"/>
          <w:b/>
          <w:bCs/>
          <w:sz w:val="24"/>
          <w:szCs w:val="24"/>
        </w:rPr>
      </w:pPr>
      <w:r>
        <w:rPr>
          <w:rFonts w:eastAsia="Calibri" w:cs="Calibri" w:ascii="Calibri" w:hAnsi="Calibri"/>
          <w:b/>
          <w:bCs/>
          <w:sz w:val="24"/>
          <w:szCs w:val="24"/>
        </w:rPr>
      </w:r>
    </w:p>
    <w:p>
      <w:pPr>
        <w:pStyle w:val="Normal"/>
        <w:rPr>
          <w:rFonts w:ascii="Calibri" w:hAnsi="Calibri" w:eastAsia="Calibri" w:cs="Calibri"/>
          <w:b/>
          <w:bCs/>
          <w:sz w:val="24"/>
          <w:szCs w:val="24"/>
        </w:rPr>
      </w:pPr>
      <w:r>
        <w:rPr>
          <w:rFonts w:eastAsia="Calibri" w:cs="Calibri" w:ascii="Calibri" w:hAnsi="Calibri"/>
          <w:b/>
          <w:bCs/>
          <w:sz w:val="24"/>
          <w:szCs w:val="24"/>
        </w:rPr>
      </w:r>
    </w:p>
    <w:p>
      <w:pPr>
        <w:pStyle w:val="Normal"/>
        <w:rPr>
          <w:rFonts w:ascii="Calibri" w:hAnsi="Calibri" w:eastAsia="Calibri" w:cs="Calibri"/>
          <w:b/>
          <w:bCs/>
          <w:sz w:val="24"/>
          <w:szCs w:val="24"/>
        </w:rPr>
      </w:pPr>
      <w:r>
        <w:rPr>
          <w:rFonts w:eastAsia="Calibri" w:cs="Calibri" w:ascii="Calibri" w:hAnsi="Calibri"/>
          <w:b/>
          <w:bCs/>
          <w:sz w:val="24"/>
          <w:szCs w:val="24"/>
        </w:rPr>
        <w:t>REFERENCES</w:t>
      </w:r>
    </w:p>
    <w:p>
      <w:pPr>
        <w:pStyle w:val="Normal"/>
        <w:rPr>
          <w:shd w:fill="FFFFFF" w:val="clear"/>
        </w:rPr>
      </w:pPr>
      <w:r>
        <w:rPr>
          <w:shd w:fill="FFFFFF" w:val="clear"/>
        </w:rPr>
        <w:t xml:space="preserve">List at least 5 references in APA format, 2 of which can be from the Sophia Learning course tutorials and at least 3 that are original research on the external environment. </w:t>
      </w:r>
    </w:p>
    <w:p>
      <w:pPr>
        <w:pStyle w:val="Normal"/>
        <w:rPr>
          <w:rFonts w:ascii="Calibri" w:hAnsi="Calibri" w:eastAsia="Calibri" w:cs="Calibri"/>
          <w:b/>
          <w:bCs/>
          <w:sz w:val="24"/>
          <w:szCs w:val="24"/>
        </w:rPr>
      </w:pPr>
      <w:r>
        <w:rPr>
          <w:rFonts w:eastAsia="Calibri" w:cs="Calibri" w:ascii="Calibri" w:hAnsi="Calibri"/>
          <w:b/>
          <w:bCs/>
          <w:sz w:val="24"/>
          <w:szCs w:val="24"/>
        </w:rPr>
      </w:r>
    </w:p>
    <w:tbl>
      <w:tblPr>
        <w:tblStyle w:val="TableGrid"/>
        <w:tblW w:w="93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340"/>
      </w:tblGrid>
      <w:tr>
        <w:trPr>
          <w:trHeight w:val="2880" w:hRule="atLeast"/>
        </w:trPr>
        <w:tc>
          <w:tcPr>
            <w:tcW w:w="9340" w:type="dxa"/>
            <w:tcBorders>
              <w:top w:val="single" w:sz="8" w:space="0" w:color="000000"/>
              <w:start w:val="single" w:sz="8" w:space="0" w:color="000000"/>
              <w:bottom w:val="single" w:sz="8" w:space="0" w:color="000000"/>
              <w:end w:val="single" w:sz="8" w:space="0" w:color="000000"/>
            </w:tcBorders>
          </w:tcPr>
          <w:p>
            <w:pPr>
              <w:pStyle w:val="BodyText"/>
              <w:widowControl/>
              <w:spacing w:lineRule="auto" w:line="240" w:before="0" w:after="0"/>
              <w:jc w:val="start"/>
              <w:rPr>
                <w:rFonts w:ascii="Arial" w:hAnsi="Arial" w:eastAsia="Calibri" w:cs="Calibri"/>
                <w:b w:val="false"/>
                <w:bCs w:val="false"/>
                <w:kern w:val="0"/>
                <w:sz w:val="24"/>
                <w:szCs w:val="24"/>
                <w:lang w:val="en-US" w:eastAsia="ja-JP" w:bidi="ar-SA"/>
              </w:rPr>
            </w:pPr>
            <w:r>
              <w:rPr>
                <w:rFonts w:eastAsia="Calibri" w:cs="Calibri" w:ascii="Arial" w:hAnsi="Arial"/>
                <w:b w:val="false"/>
                <w:bCs w:val="false"/>
                <w:kern w:val="0"/>
                <w:sz w:val="24"/>
                <w:szCs w:val="24"/>
                <w:lang w:val="en-US" w:eastAsia="ja-JP" w:bidi="ar-SA"/>
              </w:rPr>
            </w:r>
          </w:p>
          <w:p>
            <w:pPr>
              <w:pStyle w:val="BodyText"/>
              <w:numPr>
                <w:ilvl w:val="0"/>
                <w:numId w:val="2"/>
              </w:numPr>
              <w:tabs>
                <w:tab w:val="clear" w:pos="720"/>
                <w:tab w:val="left" w:pos="0" w:leader="none"/>
              </w:tabs>
              <w:spacing w:before="0" w:after="0"/>
              <w:ind w:hanging="283" w:start="720"/>
              <w:rPr/>
            </w:pPr>
            <w:r>
              <w:rPr>
                <w:rFonts w:ascii="Arial" w:hAnsi="Arial"/>
                <w:sz w:val="24"/>
                <w:szCs w:val="24"/>
              </w:rPr>
              <w:t xml:space="preserve">El Paso Chamber of Commerce. (2024). </w:t>
            </w:r>
            <w:r>
              <w:rPr>
                <w:rStyle w:val="Emphasis"/>
                <w:rFonts w:ascii="Arial" w:hAnsi="Arial"/>
                <w:sz w:val="24"/>
                <w:szCs w:val="24"/>
              </w:rPr>
              <w:t>Downtown El Paso retail and entertainment trends</w:t>
            </w:r>
            <w:r>
              <w:rPr>
                <w:rFonts w:ascii="Arial" w:hAnsi="Arial"/>
                <w:sz w:val="24"/>
                <w:szCs w:val="24"/>
              </w:rPr>
              <w:t xml:space="preserve">. El Paso Economic Report. </w:t>
            </w:r>
            <w:hyperlink r:id="rId2" w:tgtFrame="_blank">
              <w:r>
                <w:rPr>
                  <w:rStyle w:val="Hyperlink"/>
                  <w:rFonts w:ascii="Arial" w:hAnsi="Arial"/>
                  <w:sz w:val="24"/>
                  <w:szCs w:val="24"/>
                </w:rPr>
                <w:t>https://www.elpaso.org/economic-report-2024</w:t>
              </w:r>
            </w:hyperlink>
            <w:r>
              <w:rPr>
                <w:rFonts w:ascii="Arial" w:hAnsi="Arial"/>
                <w:sz w:val="24"/>
                <w:szCs w:val="24"/>
              </w:rPr>
              <w:t xml:space="preserve"> </w:t>
            </w:r>
          </w:p>
          <w:p>
            <w:pPr>
              <w:pStyle w:val="BodyText"/>
              <w:numPr>
                <w:ilvl w:val="0"/>
                <w:numId w:val="3"/>
              </w:numPr>
              <w:tabs>
                <w:tab w:val="clear" w:pos="720"/>
                <w:tab w:val="left" w:pos="0" w:leader="none"/>
              </w:tabs>
              <w:spacing w:before="0" w:after="0"/>
              <w:ind w:hanging="283" w:start="720"/>
              <w:rPr/>
            </w:pPr>
            <w:r>
              <w:rPr>
                <w:rFonts w:ascii="Arial" w:hAnsi="Arial"/>
                <w:sz w:val="24"/>
                <w:szCs w:val="24"/>
              </w:rPr>
              <w:t xml:space="preserve">Indeed. (2025). </w:t>
            </w:r>
            <w:r>
              <w:rPr>
                <w:rStyle w:val="Emphasis"/>
                <w:rFonts w:ascii="Arial" w:hAnsi="Arial"/>
                <w:sz w:val="24"/>
                <w:szCs w:val="24"/>
              </w:rPr>
              <w:t>Job market trends in El Paso, TX, and Juarez, Mexico</w:t>
            </w:r>
            <w:r>
              <w:rPr>
                <w:rFonts w:ascii="Arial" w:hAnsi="Arial"/>
                <w:sz w:val="24"/>
                <w:szCs w:val="24"/>
              </w:rPr>
              <w:t xml:space="preserve">. Indeed.com. </w:t>
            </w:r>
            <w:hyperlink r:id="rId3" w:tgtFrame="_blank">
              <w:r>
                <w:rPr>
                  <w:rStyle w:val="Hyperlink"/>
                  <w:rFonts w:ascii="Arial" w:hAnsi="Arial"/>
                  <w:sz w:val="24"/>
                  <w:szCs w:val="24"/>
                </w:rPr>
                <w:t>https://www.indeed.com/career-advice/finding-a-job/el-paso-tx-jobs</w:t>
              </w:r>
            </w:hyperlink>
            <w:r>
              <w:rPr>
                <w:rFonts w:ascii="Arial" w:hAnsi="Arial"/>
                <w:sz w:val="24"/>
                <w:szCs w:val="24"/>
              </w:rPr>
              <w:t xml:space="preserve"> </w:t>
            </w:r>
          </w:p>
          <w:p>
            <w:pPr>
              <w:pStyle w:val="BodyText"/>
              <w:numPr>
                <w:ilvl w:val="0"/>
                <w:numId w:val="4"/>
              </w:numPr>
              <w:tabs>
                <w:tab w:val="clear" w:pos="720"/>
                <w:tab w:val="left" w:pos="0" w:leader="none"/>
              </w:tabs>
              <w:spacing w:before="0" w:after="0"/>
              <w:ind w:hanging="283" w:start="720"/>
              <w:rPr/>
            </w:pPr>
            <w:r>
              <w:rPr>
                <w:rFonts w:ascii="Arial" w:hAnsi="Arial"/>
                <w:sz w:val="24"/>
                <w:szCs w:val="24"/>
              </w:rPr>
              <w:t xml:space="preserve">Mintel. (2024). </w:t>
            </w:r>
            <w:r>
              <w:rPr>
                <w:rStyle w:val="Emphasis"/>
                <w:rFonts w:ascii="Arial" w:hAnsi="Arial"/>
                <w:sz w:val="24"/>
                <w:szCs w:val="24"/>
              </w:rPr>
              <w:t>Consumer trends in the craft beverage industry</w:t>
            </w:r>
            <w:r>
              <w:rPr>
                <w:rFonts w:ascii="Arial" w:hAnsi="Arial"/>
                <w:sz w:val="24"/>
                <w:szCs w:val="24"/>
              </w:rPr>
              <w:t xml:space="preserve">. Mintel Reports. </w:t>
            </w:r>
            <w:hyperlink r:id="rId4" w:tgtFrame="_blank">
              <w:r>
                <w:rPr>
                  <w:rStyle w:val="Hyperlink"/>
                  <w:rFonts w:ascii="Arial" w:hAnsi="Arial"/>
                  <w:sz w:val="24"/>
                  <w:szCs w:val="24"/>
                </w:rPr>
                <w:t>https://www.mintel.com/craft-beverage-trends-2024</w:t>
              </w:r>
            </w:hyperlink>
            <w:r>
              <w:rPr>
                <w:rFonts w:ascii="Arial" w:hAnsi="Arial"/>
                <w:sz w:val="24"/>
                <w:szCs w:val="24"/>
              </w:rPr>
              <w:t xml:space="preserve"> </w:t>
            </w:r>
          </w:p>
          <w:p>
            <w:pPr>
              <w:pStyle w:val="BodyText"/>
              <w:numPr>
                <w:ilvl w:val="0"/>
                <w:numId w:val="5"/>
              </w:numPr>
              <w:tabs>
                <w:tab w:val="clear" w:pos="720"/>
                <w:tab w:val="left" w:pos="0" w:leader="none"/>
              </w:tabs>
              <w:spacing w:before="0" w:after="0"/>
              <w:ind w:hanging="283" w:start="720"/>
              <w:rPr/>
            </w:pPr>
            <w:r>
              <w:rPr>
                <w:rFonts w:ascii="Arial" w:hAnsi="Arial"/>
                <w:sz w:val="24"/>
                <w:szCs w:val="24"/>
              </w:rPr>
              <w:t xml:space="preserve">Servigroup. (2023). </w:t>
            </w:r>
            <w:r>
              <w:rPr>
                <w:rStyle w:val="Emphasis"/>
                <w:rFonts w:ascii="Arial" w:hAnsi="Arial"/>
                <w:sz w:val="24"/>
                <w:szCs w:val="24"/>
              </w:rPr>
              <w:t>Challenges of international expansion</w:t>
            </w:r>
            <w:r>
              <w:rPr>
                <w:rFonts w:ascii="Arial" w:hAnsi="Arial"/>
                <w:sz w:val="24"/>
                <w:szCs w:val="24"/>
              </w:rPr>
              <w:t xml:space="preserve">. Servigroup Blog. </w:t>
            </w:r>
            <w:hyperlink r:id="rId5" w:tgtFrame="_blank">
              <w:r>
                <w:rPr>
                  <w:rStyle w:val="Hyperlink"/>
                  <w:rFonts w:ascii="Arial" w:hAnsi="Arial"/>
                  <w:sz w:val="24"/>
                  <w:szCs w:val="24"/>
                </w:rPr>
                <w:t>https://www.serviapgroup.com/blog/challenges-of-international-expansion/</w:t>
              </w:r>
            </w:hyperlink>
            <w:r>
              <w:rPr>
                <w:rFonts w:ascii="Arial" w:hAnsi="Arial"/>
                <w:sz w:val="24"/>
                <w:szCs w:val="24"/>
              </w:rPr>
              <w:t xml:space="preserve"> </w:t>
            </w:r>
          </w:p>
          <w:p>
            <w:pPr>
              <w:pStyle w:val="BodyText"/>
              <w:numPr>
                <w:ilvl w:val="0"/>
                <w:numId w:val="6"/>
              </w:numPr>
              <w:tabs>
                <w:tab w:val="clear" w:pos="720"/>
                <w:tab w:val="left" w:pos="0" w:leader="none"/>
              </w:tabs>
              <w:spacing w:before="0" w:after="0"/>
              <w:ind w:hanging="283" w:start="720"/>
              <w:rPr/>
            </w:pPr>
            <w:r>
              <w:rPr>
                <w:rFonts w:ascii="Arial" w:hAnsi="Arial"/>
                <w:sz w:val="24"/>
                <w:szCs w:val="24"/>
              </w:rPr>
              <w:t xml:space="preserve">Sophia Learning. (n.d.). </w:t>
            </w:r>
            <w:r>
              <w:rPr>
                <w:rStyle w:val="Emphasis"/>
                <w:rFonts w:ascii="Arial" w:hAnsi="Arial"/>
                <w:sz w:val="24"/>
                <w:szCs w:val="24"/>
              </w:rPr>
              <w:t>Appreciative inquiry</w:t>
            </w:r>
            <w:r>
              <w:rPr>
                <w:rFonts w:ascii="Arial" w:hAnsi="Arial"/>
                <w:sz w:val="24"/>
                <w:szCs w:val="24"/>
              </w:rPr>
              <w:t xml:space="preserve">. Organizational Behavior [MOOC]. Sophia. </w:t>
            </w:r>
            <w:hyperlink r:id="rId6" w:tgtFrame="_blank">
              <w:r>
                <w:rPr>
                  <w:rStyle w:val="Hyperlink"/>
                  <w:rFonts w:ascii="Arial" w:hAnsi="Arial"/>
                  <w:sz w:val="24"/>
                  <w:szCs w:val="24"/>
                </w:rPr>
                <w:t>https://app.sophia.org/course_preview/organizational-behavior/challenge-1-3/5/14489/appreciative-inquiry</w:t>
              </w:r>
            </w:hyperlink>
            <w:r>
              <w:rPr>
                <w:rFonts w:ascii="Arial" w:hAnsi="Arial"/>
                <w:sz w:val="24"/>
                <w:szCs w:val="24"/>
              </w:rPr>
              <w:t xml:space="preserve"> </w:t>
            </w:r>
          </w:p>
          <w:p>
            <w:pPr>
              <w:pStyle w:val="BodyText"/>
              <w:numPr>
                <w:ilvl w:val="0"/>
                <w:numId w:val="7"/>
              </w:numPr>
              <w:tabs>
                <w:tab w:val="clear" w:pos="720"/>
                <w:tab w:val="left" w:pos="0" w:leader="none"/>
              </w:tabs>
              <w:spacing w:before="0" w:after="0"/>
              <w:ind w:hanging="283" w:start="720"/>
              <w:rPr/>
            </w:pPr>
            <w:r>
              <w:rPr>
                <w:rFonts w:ascii="Arial" w:hAnsi="Arial"/>
                <w:sz w:val="24"/>
                <w:szCs w:val="24"/>
              </w:rPr>
              <w:t xml:space="preserve">Sophia Learning. (n.d.). </w:t>
            </w:r>
            <w:r>
              <w:rPr>
                <w:rStyle w:val="Emphasis"/>
                <w:rFonts w:ascii="Arial" w:hAnsi="Arial"/>
                <w:sz w:val="24"/>
                <w:szCs w:val="24"/>
              </w:rPr>
              <w:t>Corporate cultures</w:t>
            </w:r>
            <w:r>
              <w:rPr>
                <w:rFonts w:ascii="Arial" w:hAnsi="Arial"/>
                <w:sz w:val="24"/>
                <w:szCs w:val="24"/>
              </w:rPr>
              <w:t xml:space="preserve">. Organizational Behavior [MOOC]. Sophia. </w:t>
            </w:r>
            <w:hyperlink r:id="rId7" w:tgtFrame="_blank">
              <w:r>
                <w:rPr>
                  <w:rStyle w:val="Hyperlink"/>
                  <w:rFonts w:ascii="Arial" w:hAnsi="Arial"/>
                  <w:sz w:val="24"/>
                  <w:szCs w:val="24"/>
                </w:rPr>
                <w:t>https://app.sophia.org/course_preview/organizational-behavior/challenge-1-2/4/14482/corporate-cultures</w:t>
              </w:r>
            </w:hyperlink>
            <w:r>
              <w:rPr>
                <w:rFonts w:ascii="Arial" w:hAnsi="Arial"/>
                <w:sz w:val="24"/>
                <w:szCs w:val="24"/>
              </w:rPr>
              <w:t xml:space="preserve"> </w:t>
            </w:r>
          </w:p>
          <w:p>
            <w:pPr>
              <w:pStyle w:val="BodyText"/>
              <w:numPr>
                <w:ilvl w:val="0"/>
                <w:numId w:val="8"/>
              </w:numPr>
              <w:tabs>
                <w:tab w:val="clear" w:pos="720"/>
                <w:tab w:val="left" w:pos="0" w:leader="none"/>
              </w:tabs>
              <w:spacing w:before="0" w:after="0"/>
              <w:ind w:hanging="283" w:start="720"/>
              <w:rPr/>
            </w:pPr>
            <w:r>
              <w:rPr>
                <w:rFonts w:ascii="Arial" w:hAnsi="Arial"/>
                <w:sz w:val="24"/>
                <w:szCs w:val="24"/>
              </w:rPr>
              <w:t xml:space="preserve">Sophia Learning. (n.d.). </w:t>
            </w:r>
            <w:r>
              <w:rPr>
                <w:rStyle w:val="Emphasis"/>
                <w:rFonts w:ascii="Arial" w:hAnsi="Arial"/>
                <w:sz w:val="24"/>
                <w:szCs w:val="24"/>
              </w:rPr>
              <w:t>Diversity and its impact on companies</w:t>
            </w:r>
            <w:r>
              <w:rPr>
                <w:rFonts w:ascii="Arial" w:hAnsi="Arial"/>
                <w:sz w:val="24"/>
                <w:szCs w:val="24"/>
              </w:rPr>
              <w:t xml:space="preserve">. Organizational Behavior [MOOC]. Sophia. </w:t>
            </w:r>
            <w:hyperlink r:id="rId8" w:tgtFrame="_blank">
              <w:r>
                <w:rPr>
                  <w:rStyle w:val="Hyperlink"/>
                  <w:rFonts w:ascii="Arial" w:hAnsi="Arial"/>
                  <w:sz w:val="24"/>
                  <w:szCs w:val="24"/>
                </w:rPr>
                <w:t>https://app.sophia.org/course_preview/organizational-behavior/challenge-1-4/2/14492/diversity-and-its-impact-on-companies</w:t>
              </w:r>
            </w:hyperlink>
            <w:r>
              <w:rPr>
                <w:rFonts w:ascii="Arial" w:hAnsi="Arial"/>
                <w:sz w:val="24"/>
                <w:szCs w:val="24"/>
              </w:rPr>
              <w:t xml:space="preserve"> </w:t>
            </w:r>
          </w:p>
          <w:p>
            <w:pPr>
              <w:pStyle w:val="BodyText"/>
              <w:numPr>
                <w:ilvl w:val="0"/>
                <w:numId w:val="9"/>
              </w:numPr>
              <w:tabs>
                <w:tab w:val="clear" w:pos="720"/>
                <w:tab w:val="left" w:pos="0" w:leader="none"/>
              </w:tabs>
              <w:spacing w:before="0" w:after="0"/>
              <w:ind w:hanging="283" w:start="720"/>
              <w:rPr/>
            </w:pPr>
            <w:r>
              <w:rPr>
                <w:rFonts w:ascii="Arial" w:hAnsi="Arial"/>
                <w:sz w:val="24"/>
                <w:szCs w:val="24"/>
              </w:rPr>
              <w:t xml:space="preserve">Sophia Learning. (n.d.). </w:t>
            </w:r>
            <w:r>
              <w:rPr>
                <w:rStyle w:val="Emphasis"/>
                <w:rFonts w:ascii="Arial" w:hAnsi="Arial"/>
                <w:sz w:val="24"/>
                <w:szCs w:val="24"/>
              </w:rPr>
              <w:t>Managing change</w:t>
            </w:r>
            <w:r>
              <w:rPr>
                <w:rFonts w:ascii="Arial" w:hAnsi="Arial"/>
                <w:sz w:val="24"/>
                <w:szCs w:val="24"/>
              </w:rPr>
              <w:t xml:space="preserve">. Organizational Behavior [MOOC]. Sophia. </w:t>
            </w:r>
            <w:hyperlink r:id="rId9" w:tgtFrame="_blank">
              <w:r>
                <w:rPr>
                  <w:rStyle w:val="Hyperlink"/>
                  <w:rFonts w:ascii="Arial" w:hAnsi="Arial"/>
                  <w:sz w:val="24"/>
                  <w:szCs w:val="24"/>
                </w:rPr>
                <w:t>https://app.sophia.org/course_preview/organizational-behavior/challenge-1-3/4/14488/managing-change</w:t>
              </w:r>
            </w:hyperlink>
            <w:r>
              <w:rPr>
                <w:rFonts w:ascii="Arial" w:hAnsi="Arial"/>
                <w:sz w:val="24"/>
                <w:szCs w:val="24"/>
              </w:rPr>
              <w:t xml:space="preserve"> </w:t>
            </w:r>
          </w:p>
          <w:p>
            <w:pPr>
              <w:pStyle w:val="BodyText"/>
              <w:numPr>
                <w:ilvl w:val="0"/>
                <w:numId w:val="10"/>
              </w:numPr>
              <w:tabs>
                <w:tab w:val="clear" w:pos="720"/>
                <w:tab w:val="left" w:pos="0" w:leader="none"/>
              </w:tabs>
              <w:ind w:hanging="283" w:start="720"/>
              <w:rPr/>
            </w:pPr>
            <w:r>
              <w:rPr>
                <w:rFonts w:ascii="Arial" w:hAnsi="Arial"/>
                <w:sz w:val="24"/>
                <w:szCs w:val="24"/>
              </w:rPr>
              <w:t xml:space="preserve">Sophia Learning. (n.d.). </w:t>
            </w:r>
            <w:r>
              <w:rPr>
                <w:rStyle w:val="Emphasis"/>
                <w:rFonts w:ascii="Arial" w:hAnsi="Arial"/>
                <w:sz w:val="24"/>
                <w:szCs w:val="24"/>
              </w:rPr>
              <w:t>Organizational designs and structures</w:t>
            </w:r>
            <w:r>
              <w:rPr>
                <w:rFonts w:ascii="Arial" w:hAnsi="Arial"/>
                <w:sz w:val="24"/>
                <w:szCs w:val="24"/>
              </w:rPr>
              <w:t xml:space="preserve">. Organizational Behavior [MOOC]. Sophia. </w:t>
            </w:r>
            <w:hyperlink r:id="rId11">
              <w:r>
                <w:rPr>
                  <w:rStyle w:val="Hyperlink"/>
                  <w:rFonts w:ascii="Arial" w:hAnsi="Arial"/>
                  <w:sz w:val="24"/>
                  <w:szCs w:val="24"/>
                </w:rPr>
                <w:t>https://app.sophia.org/course_preview/organizational-behavior/challenge-1-2/3/14481/organizational-designs-and-structures</w:t>
              </w:r>
            </w:hyperlink>
          </w:p>
          <w:p>
            <w:pPr>
              <w:pStyle w:val="BodyText"/>
              <w:widowControl/>
              <w:numPr>
                <w:ilvl w:val="0"/>
                <w:numId w:val="10"/>
              </w:numPr>
              <w:tabs>
                <w:tab w:val="clear" w:pos="720"/>
                <w:tab w:val="left" w:pos="0" w:leader="none"/>
              </w:tabs>
              <w:spacing w:lineRule="auto" w:line="240" w:before="0" w:after="0"/>
              <w:ind w:hanging="283" w:start="720"/>
              <w:jc w:val="start"/>
              <w:rPr>
                <w:rFonts w:ascii="Calibri" w:hAnsi="Calibri" w:eastAsia="Calibri" w:cs="Calibri"/>
                <w:b w:val="false"/>
                <w:bCs w:val="false"/>
                <w:kern w:val="0"/>
                <w:sz w:val="24"/>
                <w:szCs w:val="24"/>
                <w:lang w:val="en-US" w:eastAsia="ja-JP" w:bidi="ar-SA"/>
              </w:rPr>
            </w:pPr>
            <w:r>
              <w:rPr>
                <w:rFonts w:eastAsia="Calibri" w:cs="Calibri" w:ascii="Arial" w:hAnsi="Arial"/>
                <w:b w:val="false"/>
                <w:bCs w:val="false"/>
                <w:kern w:val="0"/>
                <w:sz w:val="24"/>
                <w:szCs w:val="24"/>
                <w:lang w:val="en-US" w:eastAsia="ja-JP" w:bidi="ar-SA"/>
              </w:rPr>
              <w:t xml:space="preserve">Beverage Industry. (2025). </w:t>
            </w:r>
            <w:r>
              <w:rPr>
                <w:rStyle w:val="Emphasis"/>
                <w:rFonts w:eastAsia="Calibri" w:cs="Calibri" w:ascii="Arial" w:hAnsi="Arial"/>
                <w:b w:val="false"/>
                <w:bCs w:val="false"/>
                <w:kern w:val="0"/>
                <w:sz w:val="24"/>
                <w:szCs w:val="24"/>
                <w:lang w:val="en-US" w:eastAsia="ja-JP" w:bidi="ar-SA"/>
              </w:rPr>
              <w:t>Craft soda market trends for 2025</w:t>
            </w:r>
            <w:r>
              <w:rPr>
                <w:rFonts w:eastAsia="Calibri" w:cs="Calibri" w:ascii="Arial" w:hAnsi="Arial"/>
                <w:b w:val="false"/>
                <w:bCs w:val="false"/>
                <w:kern w:val="0"/>
                <w:sz w:val="24"/>
                <w:szCs w:val="24"/>
                <w:lang w:val="en-US" w:eastAsia="ja-JP" w:bidi="ar-SA"/>
              </w:rPr>
              <w:t xml:space="preserve">. Beverage Industry Journal. </w:t>
            </w:r>
            <w:hyperlink r:id="rId12" w:tgtFrame="_blank">
              <w:r>
                <w:rPr>
                  <w:rStyle w:val="Hyperlink"/>
                  <w:rFonts w:eastAsia="Calibri" w:cs="Calibri" w:ascii="Arial" w:hAnsi="Arial"/>
                  <w:b w:val="false"/>
                  <w:bCs w:val="false"/>
                  <w:kern w:val="0"/>
                  <w:sz w:val="24"/>
                  <w:szCs w:val="24"/>
                  <w:lang w:val="en-US" w:eastAsia="ja-JP" w:bidi="ar-SA"/>
                </w:rPr>
                <w:t>https://www.beverageindustry.com/articles/97466-state-of-the-beverage-industry-carbonated-soft-drinks-see-volume-declines</w:t>
              </w:r>
            </w:hyperlink>
            <w:r>
              <w:rPr>
                <w:rFonts w:eastAsia="Calibri" w:cs="Calibri" w:ascii="Arial" w:hAnsi="Arial"/>
                <w:b w:val="false"/>
                <w:bCs w:val="false"/>
                <w:kern w:val="0"/>
                <w:sz w:val="24"/>
                <w:szCs w:val="24"/>
                <w:lang w:val="en-US" w:eastAsia="ja-JP" w:bidi="ar-SA"/>
              </w:rPr>
              <w:t xml:space="preserve"> </w:t>
            </w:r>
          </w:p>
        </w:tc>
      </w:tr>
      <w:tr>
        <w:trPr>
          <w:trHeight w:val="2880" w:hRule="atLeast"/>
        </w:trPr>
        <w:tc>
          <w:tcPr>
            <w:tcW w:w="9340"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ascii="Calibri" w:hAnsi="Calibri" w:eastAsia="Calibri" w:cs="Calibri"/>
                <w:b/>
                <w:bCs/>
                <w:sz w:val="24"/>
                <w:szCs w:val="24"/>
              </w:rPr>
            </w:pPr>
            <w:r>
              <w:rPr>
                <w:rFonts w:eastAsia="Calibri" w:cs="Calibri" w:ascii="Calibri" w:hAnsi="Calibri"/>
                <w:b/>
                <w:bCs/>
                <w:kern w:val="0"/>
                <w:sz w:val="24"/>
                <w:szCs w:val="24"/>
                <w:lang w:val="en-US" w:eastAsia="ja-JP" w:bidi="ar-SA"/>
              </w:rPr>
            </w:r>
          </w:p>
        </w:tc>
      </w:tr>
    </w:tbl>
    <w:p>
      <w:pPr>
        <w:pStyle w:val="Normal"/>
        <w:rPr>
          <w:rFonts w:ascii="Calibri" w:hAnsi="Calibri" w:eastAsia="Calibri" w:cs="Calibri"/>
          <w:b/>
          <w:bCs/>
          <w:sz w:val="24"/>
          <w:szCs w:val="24"/>
        </w:rPr>
      </w:pPr>
      <w:r>
        <w:rPr>
          <w:rFonts w:eastAsia="Calibri" w:cs="Calibri" w:ascii="Calibri" w:hAnsi="Calibri"/>
          <w:b/>
          <w:bCs/>
          <w:sz w:val="24"/>
          <w:szCs w:val="24"/>
        </w:rPr>
      </w:r>
    </w:p>
    <w:p>
      <w:pPr>
        <w:pStyle w:val="Normal"/>
        <w:rPr>
          <w:rFonts w:ascii="Calibri" w:hAnsi="Calibri" w:eastAsia="Calibri" w:cs="Calibri"/>
          <w:sz w:val="24"/>
          <w:szCs w:val="24"/>
        </w:rPr>
      </w:pPr>
      <w:r>
        <w:rPr>
          <w:rFonts w:eastAsia="Calibri" w:cs="Calibri" w:ascii="Calibri" w:hAnsi="Calibri"/>
          <w:sz w:val="24"/>
          <w:szCs w:val="24"/>
        </w:rPr>
      </w:r>
    </w:p>
    <w:p>
      <w:pPr>
        <w:pStyle w:val="Normal"/>
        <w:rPr>
          <w:rFonts w:ascii="Calibri" w:hAnsi="Calibri" w:eastAsia="Calibri" w:cs="Calibri"/>
          <w:sz w:val="24"/>
          <w:szCs w:val="24"/>
        </w:rPr>
      </w:pPr>
      <w:r>
        <w:rPr>
          <w:rFonts w:eastAsia="Calibri" w:cs="Calibri" w:ascii="Calibri" w:hAnsi="Calibri"/>
          <w:sz w:val="24"/>
          <w:szCs w:val="24"/>
        </w:rPr>
      </w:r>
    </w:p>
    <w:p>
      <w:pPr>
        <w:pStyle w:val="Normal"/>
        <w:rPr>
          <w:rFonts w:ascii="Calibri" w:hAnsi="Calibri" w:eastAsia="Calibri" w:cs="Calibri"/>
          <w:sz w:val="24"/>
          <w:szCs w:val="24"/>
        </w:rPr>
      </w:pPr>
      <w:r>
        <w:rPr>
          <w:rFonts w:eastAsia="Calibri" w:cs="Calibri" w:ascii="Calibri" w:hAnsi="Calibri"/>
          <w:sz w:val="24"/>
          <w:szCs w:val="24"/>
        </w:rPr>
      </w:r>
    </w:p>
    <w:p>
      <w:pPr>
        <w:pStyle w:val="Normal"/>
        <w:rPr>
          <w:rFonts w:ascii="Calibri" w:hAnsi="Calibri" w:eastAsia="Calibri" w:cs="Calibri"/>
          <w:sz w:val="24"/>
          <w:szCs w:val="24"/>
        </w:rPr>
      </w:pPr>
      <w:r>
        <w:rPr>
          <w:rFonts w:eastAsia="Calibri" w:cs="Calibri" w:ascii="Calibri" w:hAnsi="Calibri"/>
          <w:sz w:val="24"/>
          <w:szCs w:val="24"/>
        </w:rPr>
      </w:r>
    </w:p>
    <w:p>
      <w:pPr>
        <w:pStyle w:val="Normal"/>
        <w:rPr>
          <w:rFonts w:ascii="Calibri" w:hAnsi="Calibri" w:eastAsia="Calibri" w:cs="Calibri"/>
          <w:sz w:val="24"/>
          <w:szCs w:val="24"/>
        </w:rPr>
      </w:pPr>
      <w:r>
        <w:rPr>
          <w:rFonts w:eastAsia="Calibri" w:cs="Calibri" w:ascii="Calibri" w:hAnsi="Calibri"/>
          <w:sz w:val="24"/>
          <w:szCs w:val="24"/>
        </w:rPr>
      </w:r>
    </w:p>
    <w:p>
      <w:pPr>
        <w:pStyle w:val="Normal"/>
        <w:rPr>
          <w:rFonts w:ascii="Calibri" w:hAnsi="Calibri" w:eastAsia="Calibri" w:cs="Calibri"/>
          <w:sz w:val="24"/>
          <w:szCs w:val="24"/>
        </w:rPr>
      </w:pPr>
      <w:r>
        <w:rPr>
          <w:rFonts w:eastAsia="Calibri" w:cs="Calibri" w:ascii="Calibri" w:hAnsi="Calibri"/>
          <w:sz w:val="24"/>
          <w:szCs w:val="24"/>
        </w:rPr>
      </w:r>
    </w:p>
    <w:p>
      <w:pPr>
        <w:pStyle w:val="Normal"/>
        <w:rPr>
          <w:rFonts w:ascii="Calibri" w:hAnsi="Calibri" w:eastAsia="Calibri" w:cs="Calibri"/>
          <w:b/>
          <w:bCs/>
          <w:sz w:val="24"/>
          <w:szCs w:val="24"/>
        </w:rPr>
      </w:pPr>
      <w:r>
        <w:rPr>
          <w:rFonts w:eastAsia="Calibri" w:cs="Calibri" w:ascii="Calibri" w:hAnsi="Calibri"/>
          <w:b/>
          <w:bCs/>
          <w:sz w:val="24"/>
          <w:szCs w:val="24"/>
        </w:rPr>
      </w:r>
    </w:p>
    <w:p>
      <w:pPr>
        <w:pStyle w:val="Normal"/>
        <w:tabs>
          <w:tab w:val="clear" w:pos="720"/>
          <w:tab w:val="left" w:pos="1749" w:leader="none"/>
        </w:tabs>
        <w:rPr>
          <w:rFonts w:ascii="Calibri" w:hAnsi="Calibri" w:eastAsia="Calibri" w:cs="Calibri"/>
          <w:sz w:val="24"/>
          <w:szCs w:val="24"/>
        </w:rPr>
      </w:pPr>
      <w:r>
        <w:rPr>
          <w:rFonts w:eastAsia="Calibri" w:cs="Calibri" w:ascii="Calibri" w:hAnsi="Calibri"/>
          <w:sz w:val="24"/>
          <w:szCs w:val="24"/>
        </w:rPr>
        <w:tab/>
      </w:r>
    </w:p>
    <w:p>
      <w:pPr>
        <w:pStyle w:val="Normal"/>
        <w:tabs>
          <w:tab w:val="clear" w:pos="720"/>
          <w:tab w:val="left" w:pos="1749" w:leader="none"/>
        </w:tabs>
        <w:rPr>
          <w:rFonts w:ascii="Calibri" w:hAnsi="Calibri" w:eastAsia="Calibri" w:cs="Calibri"/>
          <w:sz w:val="24"/>
          <w:szCs w:val="24"/>
        </w:rPr>
      </w:pPr>
      <w:r>
        <w:rPr>
          <w:rFonts w:eastAsia="Calibri" w:cs="Calibri" w:ascii="Calibri" w:hAnsi="Calibri"/>
          <w:sz w:val="24"/>
          <w:szCs w:val="24"/>
        </w:rPr>
      </w:r>
    </w:p>
    <w:p>
      <w:pPr>
        <w:pStyle w:val="Normal"/>
        <w:tabs>
          <w:tab w:val="clear" w:pos="720"/>
          <w:tab w:val="left" w:pos="1749" w:leader="none"/>
        </w:tabs>
        <w:rPr>
          <w:rFonts w:ascii="Calibri" w:hAnsi="Calibri" w:eastAsia="Calibri" w:cs="Calibri"/>
          <w:sz w:val="24"/>
          <w:szCs w:val="24"/>
        </w:rPr>
      </w:pPr>
      <w:r>
        <w:rPr>
          <w:rFonts w:eastAsia="Calibri" w:cs="Calibri" w:ascii="Calibri" w:hAnsi="Calibri"/>
          <w:sz w:val="24"/>
          <w:szCs w:val="24"/>
        </w:rPr>
      </w:r>
    </w:p>
    <w:sectPr>
      <w:headerReference w:type="even" r:id="rId13"/>
      <w:headerReference w:type="default" r:id="rId14"/>
      <w:headerReference w:type="first" r:id="rId15"/>
      <w:footerReference w:type="even" r:id="rId16"/>
      <w:footerReference w:type="default" r:id="rId17"/>
      <w:footerReference w:type="first" r:id="rId18"/>
      <w:type w:val="nextPage"/>
      <w:pgSz w:w="12240" w:h="15840"/>
      <w:pgMar w:left="1440" w:right="1440" w:gutter="0" w:header="72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roman"/>
    <w:pitch w:val="variable"/>
  </w:font>
  <w:font w:name="Arial">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296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4320"/>
      <w:gridCol w:w="4320"/>
      <w:gridCol w:w="4320"/>
    </w:tblGrid>
    <w:tr>
      <w:trPr>
        <w:trHeight w:val="300" w:hRule="atLeast"/>
      </w:trPr>
      <w:tc>
        <w:tcPr>
          <w:tcW w:w="4320" w:type="dxa"/>
          <w:tcBorders/>
        </w:tcPr>
        <w:p>
          <w:pPr>
            <w:pStyle w:val="Header"/>
            <w:ind w:start="-115"/>
            <w:rPr/>
          </w:pPr>
          <w:r>
            <w:rPr/>
          </w:r>
        </w:p>
      </w:tc>
      <w:tc>
        <w:tcPr>
          <w:tcW w:w="4320" w:type="dxa"/>
          <w:tcBorders/>
        </w:tcPr>
        <w:p>
          <w:pPr>
            <w:pStyle w:val="Header"/>
            <w:jc w:val="center"/>
            <w:rPr/>
          </w:pPr>
          <w:r>
            <w:rPr/>
          </w:r>
        </w:p>
      </w:tc>
      <w:tc>
        <w:tcPr>
          <w:tcW w:w="4320" w:type="dxa"/>
          <w:tcBorders/>
        </w:tcPr>
        <w:p>
          <w:pPr>
            <w:pStyle w:val="Header"/>
            <w:ind w:end="-115"/>
            <w:jc w:val="end"/>
            <w:rPr/>
          </w:pPr>
          <w:r>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296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4320"/>
      <w:gridCol w:w="4320"/>
      <w:gridCol w:w="4320"/>
    </w:tblGrid>
    <w:tr>
      <w:trPr>
        <w:trHeight w:val="300" w:hRule="atLeast"/>
      </w:trPr>
      <w:tc>
        <w:tcPr>
          <w:tcW w:w="4320" w:type="dxa"/>
          <w:tcBorders/>
        </w:tcPr>
        <w:p>
          <w:pPr>
            <w:pStyle w:val="Header"/>
            <w:ind w:start="-115"/>
            <w:rPr/>
          </w:pPr>
          <w:r>
            <w:rPr/>
          </w:r>
        </w:p>
      </w:tc>
      <w:tc>
        <w:tcPr>
          <w:tcW w:w="4320" w:type="dxa"/>
          <w:tcBorders/>
        </w:tcPr>
        <w:p>
          <w:pPr>
            <w:pStyle w:val="Header"/>
            <w:jc w:val="center"/>
            <w:rPr/>
          </w:pPr>
          <w:r>
            <w:rPr/>
          </w:r>
        </w:p>
      </w:tc>
      <w:tc>
        <w:tcPr>
          <w:tcW w:w="4320" w:type="dxa"/>
          <w:tcBorders/>
        </w:tcPr>
        <w:p>
          <w:pPr>
            <w:pStyle w:val="Header"/>
            <w:ind w:end="-115"/>
            <w:jc w:val="end"/>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Calibri" w:hAnsi="Calibri" w:eastAsia="Calibri" w:cs="Calibri"/>
        <w:b/>
        <w:bCs/>
        <w:sz w:val="24"/>
        <w:szCs w:val="24"/>
      </w:rPr>
    </w:pPr>
    <w:r>
      <w:rPr>
        <w:rFonts w:eastAsia="Calibri" w:cs="Calibri" w:ascii="Calibri" w:hAnsi="Calibri"/>
        <w:b/>
        <w:bCs/>
        <w:sz w:val="24"/>
        <w:szCs w:val="24"/>
      </w:rPr>
    </w:r>
  </w:p>
  <w:p>
    <w:pPr>
      <w:pStyle w:val="Normal"/>
      <w:jc w:val="center"/>
      <w:rPr>
        <w:rFonts w:ascii="Calibri" w:hAnsi="Calibri" w:eastAsia="Calibri" w:cs="Calibri"/>
        <w:b/>
        <w:sz w:val="24"/>
        <w:szCs w:val="24"/>
      </w:rPr>
    </w:pPr>
    <w:r>
      <w:rPr>
        <w:rFonts w:eastAsia="Calibri" w:cs="Calibri" w:ascii="Calibri" w:hAnsi="Calibri"/>
        <w:b/>
        <w:sz w:val="24"/>
        <w:szCs w:val="24"/>
      </w:rPr>
      <w:t>Sophia Learning: Organizational Behavior</w:t>
    </w:r>
  </w:p>
  <w:p>
    <w:pPr>
      <w:pStyle w:val="Normal"/>
      <w:jc w:val="center"/>
      <w:rPr/>
    </w:pPr>
    <w:r>
      <w:rPr>
        <w:rFonts w:eastAsia="Calibri" w:cs="Calibri" w:ascii="Calibri" w:hAnsi="Calibri"/>
        <w:b/>
        <w:bCs/>
        <w:sz w:val="36"/>
        <w:szCs w:val="36"/>
      </w:rPr>
      <w:t>Touchstone 1: Create a SWOT Analysis</w:t>
    </w:r>
  </w:p>
  <w:p>
    <w:pPr>
      <w:pStyle w:val="Normal"/>
      <w:jc w:val="center"/>
      <w:rPr>
        <w:rFonts w:ascii="Calibri" w:hAnsi="Calibri" w:eastAsia="Calibri" w:cs="Calibri"/>
        <w:b/>
        <w:bCs/>
        <w:sz w:val="36"/>
        <w:szCs w:val="36"/>
      </w:rPr>
    </w:pPr>
    <w:r>
      <w:rPr>
        <w:rFonts w:eastAsia="Calibri" w:cs="Calibri" w:ascii="Calibri" w:hAnsi="Calibri"/>
        <w:b/>
        <w:bCs/>
        <w:sz w:val="36"/>
        <w:szCs w:val="3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Calibri" w:hAnsi="Calibri" w:eastAsia="Calibri" w:cs="Calibri"/>
        <w:b/>
        <w:bCs/>
        <w:sz w:val="24"/>
        <w:szCs w:val="24"/>
      </w:rPr>
    </w:pPr>
    <w:r>
      <w:rPr>
        <w:rFonts w:eastAsia="Calibri" w:cs="Calibri" w:ascii="Calibri" w:hAnsi="Calibri"/>
        <w:b/>
        <w:bCs/>
        <w:sz w:val="24"/>
        <w:szCs w:val="24"/>
      </w:rPr>
    </w:r>
  </w:p>
  <w:p>
    <w:pPr>
      <w:pStyle w:val="Normal"/>
      <w:jc w:val="center"/>
      <w:rPr>
        <w:rFonts w:ascii="Calibri" w:hAnsi="Calibri" w:eastAsia="Calibri" w:cs="Calibri"/>
        <w:b/>
        <w:sz w:val="24"/>
        <w:szCs w:val="24"/>
      </w:rPr>
    </w:pPr>
    <w:r>
      <w:rPr>
        <w:rFonts w:eastAsia="Calibri" w:cs="Calibri" w:ascii="Calibri" w:hAnsi="Calibri"/>
        <w:b/>
        <w:sz w:val="24"/>
        <w:szCs w:val="24"/>
      </w:rPr>
      <w:t>Sophia Learning: Organizational Behavior</w:t>
    </w:r>
  </w:p>
  <w:p>
    <w:pPr>
      <w:pStyle w:val="Normal"/>
      <w:jc w:val="center"/>
      <w:rPr/>
    </w:pPr>
    <w:r>
      <w:rPr>
        <w:rFonts w:eastAsia="Calibri" w:cs="Calibri" w:ascii="Calibri" w:hAnsi="Calibri"/>
        <w:b/>
        <w:bCs/>
        <w:sz w:val="36"/>
        <w:szCs w:val="36"/>
      </w:rPr>
      <w:t>Touchstone 1: Create a SWOT Analysis</w:t>
    </w:r>
  </w:p>
  <w:p>
    <w:pPr>
      <w:pStyle w:val="Normal"/>
      <w:jc w:val="center"/>
      <w:rPr>
        <w:rFonts w:ascii="Calibri" w:hAnsi="Calibri" w:eastAsia="Calibri" w:cs="Calibri"/>
        <w:b/>
        <w:bCs/>
        <w:sz w:val="36"/>
        <w:szCs w:val="36"/>
      </w:rPr>
    </w:pPr>
    <w:r>
      <w:rPr>
        <w:rFonts w:eastAsia="Calibri" w:cs="Calibri" w:ascii="Calibri" w:hAnsi="Calibri"/>
        <w:b/>
        <w:bCs/>
        <w:sz w:val="36"/>
        <w:szCs w:val="3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ja-JP"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Mention">
    <w:name w:val="Mention"/>
    <w:basedOn w:val="DefaultParagraphFont"/>
    <w:uiPriority w:val="99"/>
    <w:unhideWhenUsed/>
    <w:qFormat/>
    <w:rPr>
      <w:color w:val="2B579A"/>
      <w:shd w:fill="E6E6E6" w:val="clear"/>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pPr>
    <w:rPr/>
  </w:style>
  <w:style w:type="paragraph" w:styleId="ListParagraph">
    <w:name w:val="List Paragraph"/>
    <w:basedOn w:val="Normal"/>
    <w:uiPriority w:val="34"/>
    <w:qFormat/>
    <w:pPr>
      <w:spacing w:before="0" w:after="0"/>
      <w:ind w:star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lpaso.org/economic-report-2024" TargetMode="External"/><Relationship Id="rId3" Type="http://schemas.openxmlformats.org/officeDocument/2006/relationships/hyperlink" Target="https://www.indeed.com/career-advice/finding-a-job/el-paso-tx-jobs" TargetMode="External"/><Relationship Id="rId4" Type="http://schemas.openxmlformats.org/officeDocument/2006/relationships/hyperlink" Target="https://www.mintel.com/craft-beverage-trends-2024" TargetMode="External"/><Relationship Id="rId5" Type="http://schemas.openxmlformats.org/officeDocument/2006/relationships/hyperlink" Target="https://www.serviapgroup.com/blog/challenges-of-international-expansion/" TargetMode="External"/><Relationship Id="rId6" Type="http://schemas.openxmlformats.org/officeDocument/2006/relationships/hyperlink" Target="https://app.sophia.org/course_preview/organizational-behavior/challenge-1-3/5/14489/appreciative-inquiry" TargetMode="External"/><Relationship Id="rId7" Type="http://schemas.openxmlformats.org/officeDocument/2006/relationships/hyperlink" Target="https://app.sophia.org/course_preview/organizational-behavior/challenge-1-2/4/14482/corporate-cultures" TargetMode="External"/><Relationship Id="rId8" Type="http://schemas.openxmlformats.org/officeDocument/2006/relationships/hyperlink" Target="https://app.sophia.org/course_preview/organizational-behavior/challenge-1-4/2/14492/diversity-and-its-impact-on-companies" TargetMode="External"/><Relationship Id="rId9" Type="http://schemas.openxmlformats.org/officeDocument/2006/relationships/hyperlink" Target="https://app.sophia.org/course_preview/organizational-behavior/challenge-1-3/4/14488/managing-change" TargetMode="External"/><Relationship Id="rId10" Type="http://schemas.openxmlformats.org/officeDocument/2006/relationships/hyperlink" Target="https://app.sophia.org/course_preview/organizational-behavior/challenge-1-2/3/14481/organizational-designs-and-structures" TargetMode="External"/><Relationship Id="rId11" Type="http://schemas.openxmlformats.org/officeDocument/2006/relationships/hyperlink" Target="" TargetMode="External"/><Relationship Id="rId12" Type="http://schemas.openxmlformats.org/officeDocument/2006/relationships/hyperlink" Target="https://www.beverageindustry.com/articles/97466-state-of-the-beverage-industry-carbonated-soft-drinks-see-volume-declines"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Relationship Id="rId24" Type="http://schemas.openxmlformats.org/officeDocument/2006/relationships/customXml" Target="../customXml/item2.xml"/><Relationship Id="rId25"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0bba361ee84bae4bb670ffbccf00a722">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a182c7dbffa73f0773afe4384679c31f"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Year xmlns="cb71b97d-9a65-4f5a-80e4-73af0d9029ad" xsi:nil="true"/>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253B76-FB56-4E31-BC8E-5FB83FF42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530678-6A52-49FE-A11E-14DB9550EE46}">
  <ds:schemaRefs>
    <ds:schemaRef ds:uri="http://schemas.microsoft.com/office/2006/metadata/properties"/>
    <ds:schemaRef ds:uri="http://schemas.microsoft.com/office/infopath/2007/PartnerControls"/>
    <ds:schemaRef ds:uri="cb71b97d-9a65-4f5a-80e4-73af0d9029ad"/>
    <ds:schemaRef ds:uri="c7bf0040-ac83-4da7-b072-3c1b65a214b3"/>
  </ds:schemaRefs>
</ds:datastoreItem>
</file>

<file path=customXml/itemProps3.xml><?xml version="1.0" encoding="utf-8"?>
<ds:datastoreItem xmlns:ds="http://schemas.openxmlformats.org/officeDocument/2006/customXml" ds:itemID="{BC366AA3-6159-4A15-A0EC-A32DFA9BA6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64</TotalTime>
  <Application>LibreOffice/24.2.7.2$Linux_X86_64 LibreOffice_project/420$Build-2</Application>
  <AppVersion>15.0000</AppVersion>
  <Pages>6</Pages>
  <Words>1350</Words>
  <Characters>9702</Characters>
  <CharactersWithSpaces>11000</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2025-01-03T16:06:00Z</dcterms:created>
  <dc:creator/>
  <dc:description/>
  <dc:language>en-US</dc:language>
  <cp:lastModifiedBy/>
  <cp:lastPrinted>2025-06-03T15:14:03Z</cp:lastPrinted>
  <dcterms:modified xsi:type="dcterms:W3CDTF">2025-06-03T15:13:51Z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y fmtid="{D5CDD505-2E9C-101B-9397-08002B2CF9AE}" pid="4" name="_ExtendedDescription">
    <vt:lpwstr/>
  </property>
</Properties>
</file>