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90D" w:rsidRDefault="00DE6C31">
      <w:bookmarkStart w:id="0" w:name="_GoBack"/>
      <w:r w:rsidRPr="00DE6C31">
        <w:t>The most compelling concept from the first three modules of IT 140 was designing pseudocode and flowcharts in Module Three. Br</w:t>
      </w:r>
      <w:r>
        <w:t xml:space="preserve">eaking down the payroll problem </w:t>
      </w:r>
      <w:r w:rsidRPr="00DE6C31">
        <w:t>calcu</w:t>
      </w:r>
      <w:r>
        <w:t xml:space="preserve">lating regular and overtime pay </w:t>
      </w:r>
      <w:r w:rsidRPr="00DE6C31">
        <w:t>into a structured plan felt like crafting a roadmap for coding, making complex logi</w:t>
      </w:r>
      <w:r>
        <w:t>c like decision branching (</w:t>
      </w:r>
      <w:r w:rsidRPr="00DE6C31">
        <w:t xml:space="preserve">hours worked &gt; 40) surprisingly intuitive. However, I struggled with identifying the correct flowchart shapes for each operation, such as distinguishing parallelograms for input/output versus rectangles for processing. Using </w:t>
      </w:r>
      <w:proofErr w:type="spellStart"/>
      <w:r w:rsidRPr="00DE6C31">
        <w:t>PyCharm’s</w:t>
      </w:r>
      <w:proofErr w:type="spellEnd"/>
      <w:r w:rsidRPr="00DE6C31">
        <w:t xml:space="preserve"> documentation and Module Three resources helped clarify these distinctions, but I need more practice to master them. I’m excited to explore loops and functions next, as they promise to make my Python scripts more dynamic, building on Module Two’s name/age program</w:t>
      </w:r>
      <w:r>
        <w:t>.</w:t>
      </w:r>
      <w:bookmarkEnd w:id="0"/>
    </w:p>
    <w:sectPr w:rsidR="002F2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C31"/>
    <w:rsid w:val="002F290D"/>
    <w:rsid w:val="00DE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1</cp:revision>
  <dcterms:created xsi:type="dcterms:W3CDTF">2025-05-15T02:55:00Z</dcterms:created>
  <dcterms:modified xsi:type="dcterms:W3CDTF">2025-05-15T03:01:00Z</dcterms:modified>
</cp:coreProperties>
</file>