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Gary Hobson</w:t>
      </w:r>
      <w:r>
        <w:rPr/>
        <w:br/>
        <w:t>May 29, 2025</w:t>
      </w:r>
    </w:p>
    <w:p>
      <w:pPr>
        <w:pStyle w:val="BodyText"/>
        <w:bidi w:val="0"/>
        <w:ind w:hanging="0" w:start="0" w:end="0"/>
        <w:jc w:val="start"/>
        <w:rPr/>
      </w:pPr>
      <w:r>
        <w:rPr/>
        <w:t>Personal Code of Ethics</w:t>
      </w:r>
    </w:p>
    <w:p>
      <w:pPr>
        <w:pStyle w:val="BodyText"/>
        <w:bidi w:val="0"/>
        <w:ind w:hanging="0" w:start="0" w:end="0"/>
        <w:jc w:val="start"/>
        <w:rPr/>
      </w:pPr>
      <w:r>
        <w:rPr/>
        <w:t>Imagine a world where trust, fairness, and compassion define every workplace. I envision myself in five years as a human resources manager, fostering such an environment. My personal code of ethics, grounded in integrity, equity, and empathy, guides my decisions and actions to build this world.</w:t>
      </w:r>
    </w:p>
    <w:p>
      <w:pPr>
        <w:pStyle w:val="BodyText"/>
        <w:bidi w:val="0"/>
        <w:ind w:hanging="0" w:start="0" w:end="0"/>
        <w:jc w:val="start"/>
        <w:rPr/>
      </w:pPr>
      <w:r>
        <w:rPr/>
        <w:t>Integrity is paramount to me because it fosters trust, essential for collaboration. Honesty in communication prevents misunderstandings that can erode workplace morale. Research shows that trust enhances worker satisfaction and productivity (Columbo &amp; Fletcher, 2020). Acting with integrity ensures I model ethical behavior. As an HR manager, I aim to uphold integrity by implementing transparent policies, such as clear hiring criteria, aligning with my goal to create a trustworthy workplace culture that attracts top talent.</w:t>
      </w:r>
    </w:p>
    <w:p>
      <w:pPr>
        <w:pStyle w:val="BodyText"/>
        <w:bidi w:val="0"/>
        <w:ind w:hanging="0" w:start="0" w:end="0"/>
        <w:jc w:val="start"/>
        <w:rPr/>
      </w:pPr>
      <w:r>
        <w:rPr/>
        <w:t>Equity drives me to ensure fairness for all, recognizing diverse needs. Treating everyone identically can perpetuate inequality, as equal treatment may exclude those with unique challenges (Hunt et al., 2020). Providing tailored accommodations, like flexible schedules, promotes justice. My professional goal is to design inclusive HR policies, such as equitable promotion processes, ensuring all employees have opportunities to succeed, reflecting my commitment to a fair workplace.</w:t>
      </w:r>
    </w:p>
    <w:p>
      <w:pPr>
        <w:pStyle w:val="BodyText"/>
        <w:bidi w:val="0"/>
        <w:ind w:hanging="0" w:start="0" w:end="0"/>
        <w:jc w:val="start"/>
        <w:rPr/>
      </w:pPr>
      <w:r>
        <w:rPr/>
        <w:t>Empathy allows me to understand others’ perspectives, enhancing team cohesion. Empathetic leaders create supportive environments, reducing conflict (Rock, 2014). Listening to employees’ concerns builds loyalty. I aspire to lead with empathy, fostering a culture where employees feel valued through initiatives like regular feedback sessions, aligning with my goal to improve employee engagement and retention.</w:t>
      </w:r>
    </w:p>
    <w:p>
      <w:pPr>
        <w:pStyle w:val="BodyText"/>
        <w:bidi w:val="0"/>
        <w:ind w:hanging="0" w:start="0" w:end="0"/>
        <w:jc w:val="start"/>
        <w:rPr/>
      </w:pPr>
      <w:r>
        <w:rPr/>
        <w:t>By living these values, I will contribute to a workplace where integrity, equity, and empathy thrive. As an HR manager, I will build a world where employees are trusted, treated fairly, and supported, driving organizational success and societal good.</w:t>
      </w:r>
    </w:p>
    <w:p>
      <w:pPr>
        <w:pStyle w:val="BodyText"/>
        <w:bidi w:val="0"/>
        <w:ind w:hanging="0" w:start="0" w:end="0"/>
        <w:jc w:val="start"/>
        <w:rPr/>
      </w:pPr>
      <w:r>
        <w:rPr/>
        <w:t>References</w:t>
        <w:br/>
        <w:t xml:space="preserve">Columbo, M., &amp; Fletcher, R. (2020). Trust in the workplace: Impacts on efficiency and profitability. </w:t>
      </w:r>
      <w:r>
        <w:rPr>
          <w:rStyle w:val="Emphasis"/>
        </w:rPr>
        <w:t>Journal of Organizational Behavior, 41</w:t>
      </w:r>
      <w:r>
        <w:rPr/>
        <w:t xml:space="preserve">(3), 245–260. </w:t>
      </w:r>
      <w:hyperlink r:id="rId2" w:tgtFrame="_blank">
        <w:r>
          <w:rPr>
            <w:rStyle w:val="Hyperlink"/>
          </w:rPr>
          <w:t>https://doi.org/10.1002/job.2412</w:t>
        </w:r>
      </w:hyperlink>
    </w:p>
    <w:p>
      <w:pPr>
        <w:pStyle w:val="BodyText"/>
        <w:bidi w:val="0"/>
        <w:ind w:hanging="0" w:start="0" w:end="0"/>
        <w:jc w:val="start"/>
        <w:rPr/>
      </w:pPr>
      <w:r>
        <w:rPr/>
        <w:t xml:space="preserve">Hunt, V., Prince, S., Dixon-Fyle, S., &amp; Yee, L. (2020). Diversity wins: How inclusion matters. </w:t>
      </w:r>
      <w:r>
        <w:rPr>
          <w:rStyle w:val="Emphasis"/>
        </w:rPr>
        <w:t>McKinsey &amp; Company</w:t>
      </w:r>
      <w:r>
        <w:rPr/>
        <w:t xml:space="preserve">. </w:t>
      </w:r>
      <w:hyperlink r:id="rId3" w:tgtFrame="_blank">
        <w:r>
          <w:rPr>
            <w:rStyle w:val="Hyperlink"/>
          </w:rPr>
          <w:t>https://www.mckinsey.com/featured-insights/diversity-and-inclusion/diversity-wins-how-inclusion-matters</w:t>
        </w:r>
      </w:hyperlink>
    </w:p>
    <w:p>
      <w:pPr>
        <w:pStyle w:val="BodyText"/>
        <w:bidi w:val="0"/>
        <w:ind w:hanging="0" w:start="0" w:end="0"/>
        <w:jc w:val="start"/>
        <w:rPr/>
      </w:pPr>
      <w:r>
        <w:rPr/>
        <w:t xml:space="preserve">Rock, D. (2014). The business case for compassion. </w:t>
      </w:r>
      <w:r>
        <w:rPr>
          <w:rStyle w:val="Emphasis"/>
        </w:rPr>
        <w:t>Harvard Business Review</w:t>
      </w:r>
      <w:r>
        <w:rPr/>
        <w:t xml:space="preserve">. </w:t>
      </w:r>
      <w:hyperlink r:id="rId4" w:tgtFrame="_blank">
        <w:r>
          <w:rPr>
            <w:rStyle w:val="Hyperlink"/>
          </w:rPr>
          <w:t>https://hbr.org/2014/09/the-business-case-for-compassion</w:t>
        </w:r>
      </w:hyperlink>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2/job.2412" TargetMode="External"/><Relationship Id="rId3" Type="http://schemas.openxmlformats.org/officeDocument/2006/relationships/hyperlink" Target="https://www.mckinsey.com/featured-insights/diversity-and-inclusion/diversity-wins-how-inclusion-matters" TargetMode="External"/><Relationship Id="rId4" Type="http://schemas.openxmlformats.org/officeDocument/2006/relationships/hyperlink" Target="https://hbr.org/2014/09/the-business-case-for-compassion"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344</Words>
  <Characters>2224</Characters>
  <CharactersWithSpaces>2557</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2025-05-29T14:54:17Z</dcterms:created>
  <dc:creator/>
  <dc:description/>
  <dc:language>en-US</dc:language>
  <cp:lastModifiedBy/>
  <dcterms:modified xsi:type="dcterms:W3CDTF">2025-05-29T14:55:44Z</dcterms:modified>
  <cp:revision>1</cp:revision>
  <dc:subject/>
  <dc:title/>
</cp:coreProperties>
</file>