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480" w:lineRule="exact"/>
        <w:jc w:val="center"/>
        <w:outlineLvl w:val="0"/>
        <w:rPr>
          <w:rFonts w:hint="eastAsia" w:ascii="方正小标宋简体" w:eastAsia="方正小标宋简体"/>
          <w:bCs/>
          <w:color w:val="000000"/>
          <w:sz w:val="38"/>
          <w:szCs w:val="38"/>
        </w:rPr>
      </w:pPr>
      <w:r>
        <w:rPr>
          <w:rFonts w:hint="eastAsia" w:ascii="方正小标宋简体" w:eastAsia="方正小标宋简体"/>
          <w:bCs/>
          <w:color w:val="000000"/>
          <w:sz w:val="38"/>
          <w:szCs w:val="38"/>
        </w:rPr>
        <w:t>四川省事业单位工作人员年度考核登记表</w:t>
      </w:r>
    </w:p>
    <w:p>
      <w:pPr>
        <w:spacing w:before="31" w:beforeLines="10" w:after="31" w:afterLines="10" w:line="480" w:lineRule="exact"/>
        <w:jc w:val="center"/>
        <w:outlineLvl w:val="0"/>
        <w:rPr>
          <w:rFonts w:hint="eastAsia" w:ascii="仿宋_GB2312" w:hAnsi="宋体" w:eastAsia="仿宋_GB2312"/>
          <w:bCs/>
          <w:color w:val="000000"/>
          <w:sz w:val="32"/>
          <w:szCs w:val="32"/>
        </w:rPr>
      </w:pPr>
      <w:r>
        <w:rPr>
          <w:rFonts w:hint="eastAsia" w:ascii="仿宋_GB2312" w:hAnsi="宋体" w:eastAsia="仿宋_GB2312"/>
          <w:bCs/>
          <w:color w:val="000000"/>
          <w:sz w:val="32"/>
          <w:szCs w:val="32"/>
        </w:rPr>
        <w:t xml:space="preserve">(  </w:t>
      </w:r>
      <w:r>
        <w:rPr>
          <w:rFonts w:hint="eastAsia" w:ascii="仿宋_GB2312" w:hAnsi="宋体" w:eastAsia="仿宋_GB2312"/>
          <w:bCs/>
          <w:color w:val="000000"/>
          <w:sz w:val="32"/>
          <w:szCs w:val="32"/>
          <w:lang w:val="en-US" w:eastAsia="zh-CN"/>
        </w:rPr>
        <w:t>2024</w:t>
      </w:r>
      <w:r>
        <w:rPr>
          <w:rFonts w:hint="eastAsia" w:ascii="仿宋_GB2312" w:hAnsi="宋体" w:eastAsia="仿宋_GB2312"/>
          <w:bCs/>
          <w:color w:val="000000"/>
          <w:sz w:val="32"/>
          <w:szCs w:val="32"/>
        </w:rPr>
        <w:t>年度)</w:t>
      </w:r>
    </w:p>
    <w:tbl>
      <w:tblPr>
        <w:tblStyle w:val="6"/>
        <w:tblW w:w="10792" w:type="dxa"/>
        <w:jc w:val="center"/>
        <w:tblLayout w:type="fixed"/>
        <w:tblCellMar>
          <w:top w:w="0" w:type="dxa"/>
          <w:left w:w="0" w:type="dxa"/>
          <w:bottom w:w="0" w:type="dxa"/>
          <w:right w:w="0" w:type="dxa"/>
        </w:tblCellMar>
      </w:tblPr>
      <w:tblGrid>
        <w:gridCol w:w="520"/>
        <w:gridCol w:w="524"/>
        <w:gridCol w:w="734"/>
        <w:gridCol w:w="623"/>
        <w:gridCol w:w="1067"/>
        <w:gridCol w:w="722"/>
        <w:gridCol w:w="142"/>
        <w:gridCol w:w="998"/>
        <w:gridCol w:w="1275"/>
        <w:gridCol w:w="2012"/>
        <w:gridCol w:w="2175"/>
      </w:tblGrid>
      <w:tr>
        <w:tblPrEx>
          <w:tblCellMar>
            <w:top w:w="0" w:type="dxa"/>
            <w:left w:w="0" w:type="dxa"/>
            <w:bottom w:w="0" w:type="dxa"/>
            <w:right w:w="0" w:type="dxa"/>
          </w:tblCellMar>
        </w:tblPrEx>
        <w:trPr>
          <w:trHeight w:val="425" w:hRule="atLeast"/>
          <w:jc w:val="center"/>
        </w:trPr>
        <w:tc>
          <w:tcPr>
            <w:tcW w:w="1044" w:type="dxa"/>
            <w:gridSpan w:val="2"/>
            <w:tcBorders>
              <w:top w:val="single" w:color="auto" w:sz="12" w:space="0"/>
              <w:left w:val="single" w:color="auto" w:sz="12" w:space="0"/>
              <w:bottom w:val="single" w:color="auto" w:sz="2" w:space="0"/>
              <w:right w:val="single" w:color="auto" w:sz="2" w:space="0"/>
            </w:tcBorders>
            <w:noWrap w:val="0"/>
            <w:vAlign w:val="center"/>
          </w:tcPr>
          <w:p>
            <w:pPr>
              <w:keepNext w:val="0"/>
              <w:keepLines w:val="0"/>
              <w:pageBreakBefore w:val="0"/>
              <w:widowControl w:val="0"/>
              <w:kinsoku/>
              <w:wordWrap/>
              <w:overflowPunct/>
              <w:topLinePunct w:val="0"/>
              <w:autoSpaceDE w:val="0"/>
              <w:autoSpaceDN w:val="0"/>
              <w:bidi w:val="0"/>
              <w:adjustRightInd/>
              <w:snapToGrid/>
              <w:spacing w:line="240" w:lineRule="atLeast"/>
              <w:jc w:val="center"/>
              <w:textAlignment w:val="auto"/>
              <w:rPr>
                <w:rFonts w:hint="eastAsia" w:ascii="楷体_GB2312" w:eastAsia="楷体_GB2312"/>
                <w:b/>
                <w:color w:val="000000"/>
                <w:kern w:val="0"/>
                <w:sz w:val="21"/>
                <w:szCs w:val="21"/>
              </w:rPr>
            </w:pPr>
            <w:r>
              <w:rPr>
                <w:rFonts w:hint="eastAsia" w:ascii="楷体_GB2312" w:eastAsia="楷体_GB2312"/>
                <w:b/>
                <w:color w:val="000000"/>
                <w:kern w:val="0"/>
                <w:sz w:val="21"/>
                <w:szCs w:val="21"/>
              </w:rPr>
              <w:t>姓  名</w:t>
            </w:r>
          </w:p>
        </w:tc>
        <w:tc>
          <w:tcPr>
            <w:tcW w:w="1357" w:type="dxa"/>
            <w:gridSpan w:val="2"/>
            <w:tcBorders>
              <w:top w:val="single" w:color="auto" w:sz="12" w:space="0"/>
              <w:left w:val="single" w:color="auto" w:sz="2" w:space="0"/>
              <w:bottom w:val="single" w:color="auto" w:sz="2" w:space="0"/>
              <w:right w:val="single" w:color="auto" w:sz="2" w:space="0"/>
            </w:tcBorders>
            <w:noWrap w:val="0"/>
            <w:vAlign w:val="center"/>
          </w:tcPr>
          <w:p>
            <w:pPr>
              <w:keepNext w:val="0"/>
              <w:keepLines w:val="0"/>
              <w:pageBreakBefore w:val="0"/>
              <w:widowControl w:val="0"/>
              <w:kinsoku/>
              <w:wordWrap/>
              <w:overflowPunct/>
              <w:topLinePunct w:val="0"/>
              <w:autoSpaceDE w:val="0"/>
              <w:autoSpaceDN w:val="0"/>
              <w:bidi w:val="0"/>
              <w:adjustRightInd/>
              <w:snapToGrid/>
              <w:spacing w:line="240" w:lineRule="atLeast"/>
              <w:jc w:val="center"/>
              <w:textAlignment w:val="auto"/>
              <w:rPr>
                <w:rFonts w:hint="eastAsia" w:ascii="楷体_GB2312" w:eastAsia="楷体_GB2312"/>
                <w:b/>
                <w:kern w:val="0"/>
                <w:sz w:val="21"/>
                <w:szCs w:val="21"/>
              </w:rPr>
            </w:pPr>
            <w:r>
              <w:rPr>
                <w:rFonts w:hint="eastAsia" w:ascii="楷体_GB2312" w:eastAsia="楷体_GB2312"/>
                <w:b/>
                <w:kern w:val="0"/>
                <w:sz w:val="21"/>
                <w:szCs w:val="21"/>
              </w:rPr>
              <w:t>景军</w:t>
            </w:r>
          </w:p>
        </w:tc>
        <w:tc>
          <w:tcPr>
            <w:tcW w:w="1067" w:type="dxa"/>
            <w:tcBorders>
              <w:top w:val="single" w:color="auto" w:sz="12" w:space="0"/>
              <w:left w:val="single" w:color="auto" w:sz="2" w:space="0"/>
              <w:bottom w:val="single" w:color="auto" w:sz="2" w:space="0"/>
              <w:right w:val="single" w:color="auto" w:sz="2" w:space="0"/>
            </w:tcBorders>
            <w:noWrap w:val="0"/>
            <w:vAlign w:val="center"/>
          </w:tcPr>
          <w:p>
            <w:pPr>
              <w:keepNext w:val="0"/>
              <w:keepLines w:val="0"/>
              <w:pageBreakBefore w:val="0"/>
              <w:widowControl w:val="0"/>
              <w:kinsoku/>
              <w:wordWrap/>
              <w:overflowPunct/>
              <w:topLinePunct w:val="0"/>
              <w:autoSpaceDE w:val="0"/>
              <w:autoSpaceDN w:val="0"/>
              <w:bidi w:val="0"/>
              <w:adjustRightInd/>
              <w:snapToGrid/>
              <w:spacing w:line="240" w:lineRule="atLeast"/>
              <w:jc w:val="center"/>
              <w:textAlignment w:val="auto"/>
              <w:rPr>
                <w:rFonts w:hint="eastAsia" w:ascii="楷体_GB2312" w:eastAsia="楷体_GB2312"/>
                <w:b/>
                <w:kern w:val="0"/>
                <w:sz w:val="21"/>
                <w:szCs w:val="21"/>
              </w:rPr>
            </w:pPr>
            <w:r>
              <w:rPr>
                <w:rFonts w:hint="eastAsia" w:ascii="楷体_GB2312" w:eastAsia="楷体_GB2312"/>
                <w:b/>
                <w:kern w:val="0"/>
                <w:sz w:val="21"/>
                <w:szCs w:val="21"/>
              </w:rPr>
              <w:t>性别</w:t>
            </w:r>
          </w:p>
        </w:tc>
        <w:tc>
          <w:tcPr>
            <w:tcW w:w="864" w:type="dxa"/>
            <w:gridSpan w:val="2"/>
            <w:tcBorders>
              <w:top w:val="single" w:color="auto" w:sz="12" w:space="0"/>
              <w:left w:val="single" w:color="auto" w:sz="2" w:space="0"/>
              <w:bottom w:val="single" w:color="auto" w:sz="2" w:space="0"/>
              <w:right w:val="single" w:color="auto" w:sz="2" w:space="0"/>
            </w:tcBorders>
            <w:noWrap w:val="0"/>
            <w:vAlign w:val="center"/>
          </w:tcPr>
          <w:p>
            <w:pPr>
              <w:keepNext w:val="0"/>
              <w:keepLines w:val="0"/>
              <w:pageBreakBefore w:val="0"/>
              <w:widowControl w:val="0"/>
              <w:kinsoku/>
              <w:wordWrap/>
              <w:overflowPunct/>
              <w:topLinePunct w:val="0"/>
              <w:autoSpaceDE w:val="0"/>
              <w:autoSpaceDN w:val="0"/>
              <w:bidi w:val="0"/>
              <w:adjustRightInd/>
              <w:snapToGrid/>
              <w:spacing w:line="240" w:lineRule="atLeast"/>
              <w:jc w:val="center"/>
              <w:textAlignment w:val="auto"/>
              <w:rPr>
                <w:rFonts w:hint="eastAsia" w:ascii="楷体_GB2312" w:eastAsia="楷体_GB2312"/>
                <w:b/>
                <w:kern w:val="0"/>
                <w:sz w:val="21"/>
                <w:szCs w:val="21"/>
              </w:rPr>
            </w:pPr>
            <w:r>
              <w:rPr>
                <w:rFonts w:hint="eastAsia" w:ascii="楷体_GB2312" w:eastAsia="楷体_GB2312"/>
                <w:b/>
                <w:kern w:val="0"/>
                <w:sz w:val="21"/>
                <w:szCs w:val="21"/>
              </w:rPr>
              <w:t>男</w:t>
            </w:r>
          </w:p>
        </w:tc>
        <w:tc>
          <w:tcPr>
            <w:tcW w:w="998" w:type="dxa"/>
            <w:tcBorders>
              <w:top w:val="single" w:color="auto" w:sz="12" w:space="0"/>
              <w:left w:val="single" w:color="auto" w:sz="2" w:space="0"/>
              <w:bottom w:val="single" w:color="auto" w:sz="2" w:space="0"/>
              <w:right w:val="single" w:color="auto" w:sz="2" w:space="0"/>
            </w:tcBorders>
            <w:noWrap w:val="0"/>
            <w:vAlign w:val="center"/>
          </w:tcPr>
          <w:p>
            <w:pPr>
              <w:keepNext w:val="0"/>
              <w:keepLines w:val="0"/>
              <w:pageBreakBefore w:val="0"/>
              <w:widowControl w:val="0"/>
              <w:kinsoku/>
              <w:wordWrap/>
              <w:overflowPunct/>
              <w:topLinePunct w:val="0"/>
              <w:autoSpaceDE w:val="0"/>
              <w:autoSpaceDN w:val="0"/>
              <w:bidi w:val="0"/>
              <w:adjustRightInd/>
              <w:snapToGrid/>
              <w:spacing w:line="240" w:lineRule="atLeast"/>
              <w:jc w:val="center"/>
              <w:textAlignment w:val="auto"/>
              <w:rPr>
                <w:rFonts w:hint="eastAsia" w:ascii="楷体_GB2312" w:eastAsia="楷体_GB2312"/>
                <w:b/>
                <w:kern w:val="0"/>
                <w:sz w:val="21"/>
                <w:szCs w:val="21"/>
              </w:rPr>
            </w:pPr>
            <w:r>
              <w:rPr>
                <w:rFonts w:hint="eastAsia" w:ascii="楷体_GB2312" w:eastAsia="楷体_GB2312"/>
                <w:b/>
                <w:kern w:val="0"/>
                <w:sz w:val="21"/>
                <w:szCs w:val="21"/>
              </w:rPr>
              <w:t>出生年月</w:t>
            </w:r>
          </w:p>
        </w:tc>
        <w:tc>
          <w:tcPr>
            <w:tcW w:w="1275" w:type="dxa"/>
            <w:tcBorders>
              <w:top w:val="single" w:color="auto" w:sz="12" w:space="0"/>
              <w:left w:val="single" w:color="auto" w:sz="2" w:space="0"/>
              <w:bottom w:val="single" w:color="auto" w:sz="2" w:space="0"/>
              <w:right w:val="single" w:color="auto" w:sz="2" w:space="0"/>
            </w:tcBorders>
            <w:noWrap w:val="0"/>
            <w:vAlign w:val="center"/>
          </w:tcPr>
          <w:p>
            <w:pPr>
              <w:keepNext w:val="0"/>
              <w:keepLines w:val="0"/>
              <w:pageBreakBefore w:val="0"/>
              <w:widowControl w:val="0"/>
              <w:kinsoku/>
              <w:wordWrap/>
              <w:overflowPunct/>
              <w:topLinePunct w:val="0"/>
              <w:autoSpaceDE w:val="0"/>
              <w:autoSpaceDN w:val="0"/>
              <w:bidi w:val="0"/>
              <w:adjustRightInd/>
              <w:snapToGrid/>
              <w:spacing w:line="240" w:lineRule="atLeast"/>
              <w:textAlignment w:val="auto"/>
              <w:rPr>
                <w:rFonts w:hint="eastAsia" w:ascii="楷体_GB2312" w:eastAsia="楷体_GB2312"/>
                <w:b/>
                <w:kern w:val="0"/>
                <w:sz w:val="21"/>
                <w:szCs w:val="21"/>
              </w:rPr>
            </w:pPr>
            <w:r>
              <w:rPr>
                <w:rFonts w:hint="eastAsia" w:ascii="楷体_GB2312" w:eastAsia="楷体_GB2312"/>
                <w:b/>
                <w:kern w:val="0"/>
                <w:sz w:val="21"/>
                <w:szCs w:val="21"/>
              </w:rPr>
              <w:t>1983.10</w:t>
            </w:r>
          </w:p>
        </w:tc>
        <w:tc>
          <w:tcPr>
            <w:tcW w:w="2012" w:type="dxa"/>
            <w:tcBorders>
              <w:top w:val="single" w:color="auto" w:sz="12" w:space="0"/>
              <w:left w:val="single" w:color="auto" w:sz="2" w:space="0"/>
              <w:bottom w:val="single" w:color="auto" w:sz="2" w:space="0"/>
              <w:right w:val="single" w:color="auto" w:sz="2" w:space="0"/>
            </w:tcBorders>
            <w:noWrap w:val="0"/>
            <w:vAlign w:val="center"/>
          </w:tcPr>
          <w:p>
            <w:pPr>
              <w:keepNext w:val="0"/>
              <w:keepLines w:val="0"/>
              <w:pageBreakBefore w:val="0"/>
              <w:widowControl w:val="0"/>
              <w:kinsoku/>
              <w:wordWrap/>
              <w:overflowPunct/>
              <w:topLinePunct w:val="0"/>
              <w:autoSpaceDE w:val="0"/>
              <w:autoSpaceDN w:val="0"/>
              <w:bidi w:val="0"/>
              <w:adjustRightInd/>
              <w:snapToGrid/>
              <w:spacing w:line="240" w:lineRule="atLeast"/>
              <w:jc w:val="center"/>
              <w:textAlignment w:val="auto"/>
              <w:rPr>
                <w:rFonts w:hint="eastAsia" w:ascii="楷体_GB2312" w:eastAsia="楷体_GB2312"/>
                <w:b/>
                <w:kern w:val="0"/>
                <w:sz w:val="21"/>
                <w:szCs w:val="21"/>
              </w:rPr>
            </w:pPr>
            <w:r>
              <w:rPr>
                <w:rFonts w:hint="eastAsia" w:ascii="楷体_GB2312" w:eastAsia="楷体_GB2312"/>
                <w:b/>
                <w:kern w:val="0"/>
                <w:sz w:val="21"/>
                <w:szCs w:val="21"/>
              </w:rPr>
              <w:t>参加工作时间</w:t>
            </w:r>
          </w:p>
        </w:tc>
        <w:tc>
          <w:tcPr>
            <w:tcW w:w="2175" w:type="dxa"/>
            <w:tcBorders>
              <w:top w:val="single" w:color="auto" w:sz="12" w:space="0"/>
              <w:left w:val="single" w:color="auto" w:sz="2" w:space="0"/>
              <w:bottom w:val="single" w:color="auto" w:sz="2" w:space="0"/>
              <w:right w:val="single" w:color="auto" w:sz="12" w:space="0"/>
            </w:tcBorders>
            <w:noWrap w:val="0"/>
            <w:vAlign w:val="center"/>
          </w:tcPr>
          <w:p>
            <w:pPr>
              <w:keepNext w:val="0"/>
              <w:keepLines w:val="0"/>
              <w:pageBreakBefore w:val="0"/>
              <w:widowControl w:val="0"/>
              <w:kinsoku/>
              <w:wordWrap/>
              <w:overflowPunct/>
              <w:topLinePunct w:val="0"/>
              <w:autoSpaceDE w:val="0"/>
              <w:autoSpaceDN w:val="0"/>
              <w:bidi w:val="0"/>
              <w:adjustRightInd/>
              <w:snapToGrid/>
              <w:spacing w:line="240" w:lineRule="atLeast"/>
              <w:jc w:val="center"/>
              <w:textAlignment w:val="auto"/>
              <w:rPr>
                <w:rFonts w:hint="eastAsia" w:ascii="楷体_GB2312" w:eastAsia="楷体_GB2312"/>
                <w:b/>
                <w:kern w:val="0"/>
                <w:sz w:val="21"/>
                <w:szCs w:val="21"/>
              </w:rPr>
            </w:pPr>
            <w:r>
              <w:rPr>
                <w:rFonts w:hint="eastAsia" w:ascii="楷体_GB2312" w:eastAsia="楷体_GB2312"/>
                <w:b/>
                <w:kern w:val="0"/>
                <w:sz w:val="21"/>
                <w:szCs w:val="21"/>
              </w:rPr>
              <w:t>2005</w:t>
            </w:r>
          </w:p>
        </w:tc>
      </w:tr>
      <w:tr>
        <w:tblPrEx>
          <w:tblCellMar>
            <w:top w:w="0" w:type="dxa"/>
            <w:left w:w="0" w:type="dxa"/>
            <w:bottom w:w="0" w:type="dxa"/>
            <w:right w:w="0" w:type="dxa"/>
          </w:tblCellMar>
        </w:tblPrEx>
        <w:trPr>
          <w:trHeight w:val="272" w:hRule="atLeast"/>
          <w:jc w:val="center"/>
        </w:trPr>
        <w:tc>
          <w:tcPr>
            <w:tcW w:w="1044" w:type="dxa"/>
            <w:gridSpan w:val="2"/>
            <w:vMerge w:val="restart"/>
            <w:tcBorders>
              <w:top w:val="single" w:color="auto" w:sz="2" w:space="0"/>
              <w:left w:val="single" w:color="auto" w:sz="12" w:space="0"/>
              <w:right w:val="single" w:color="auto" w:sz="2" w:space="0"/>
            </w:tcBorders>
            <w:noWrap w:val="0"/>
            <w:vAlign w:val="center"/>
          </w:tcPr>
          <w:p>
            <w:pPr>
              <w:keepNext w:val="0"/>
              <w:keepLines w:val="0"/>
              <w:pageBreakBefore w:val="0"/>
              <w:widowControl w:val="0"/>
              <w:kinsoku/>
              <w:wordWrap/>
              <w:overflowPunct/>
              <w:topLinePunct w:val="0"/>
              <w:autoSpaceDE w:val="0"/>
              <w:autoSpaceDN w:val="0"/>
              <w:bidi w:val="0"/>
              <w:adjustRightInd/>
              <w:snapToGrid/>
              <w:spacing w:line="240" w:lineRule="atLeast"/>
              <w:jc w:val="center"/>
              <w:textAlignment w:val="auto"/>
              <w:rPr>
                <w:rFonts w:hint="eastAsia" w:ascii="楷体_GB2312" w:eastAsia="楷体_GB2312"/>
                <w:b/>
                <w:color w:val="000000"/>
                <w:kern w:val="0"/>
                <w:sz w:val="21"/>
                <w:szCs w:val="21"/>
              </w:rPr>
            </w:pPr>
            <w:r>
              <w:rPr>
                <w:rFonts w:hint="eastAsia" w:ascii="楷体_GB2312" w:eastAsia="楷体_GB2312"/>
                <w:b/>
                <w:color w:val="000000"/>
                <w:kern w:val="0"/>
                <w:sz w:val="21"/>
                <w:szCs w:val="21"/>
              </w:rPr>
              <w:t>政 治</w:t>
            </w:r>
          </w:p>
          <w:p>
            <w:pPr>
              <w:keepNext w:val="0"/>
              <w:keepLines w:val="0"/>
              <w:pageBreakBefore w:val="0"/>
              <w:widowControl w:val="0"/>
              <w:kinsoku/>
              <w:wordWrap/>
              <w:overflowPunct/>
              <w:topLinePunct w:val="0"/>
              <w:autoSpaceDE w:val="0"/>
              <w:autoSpaceDN w:val="0"/>
              <w:bidi w:val="0"/>
              <w:adjustRightInd/>
              <w:snapToGrid/>
              <w:spacing w:line="240" w:lineRule="atLeast"/>
              <w:jc w:val="center"/>
              <w:textAlignment w:val="auto"/>
              <w:rPr>
                <w:rFonts w:hint="eastAsia" w:ascii="楷体_GB2312" w:eastAsia="楷体_GB2312"/>
                <w:b/>
                <w:color w:val="000000"/>
                <w:kern w:val="0"/>
                <w:sz w:val="21"/>
                <w:szCs w:val="21"/>
              </w:rPr>
            </w:pPr>
            <w:r>
              <w:rPr>
                <w:rFonts w:hint="eastAsia" w:ascii="楷体_GB2312" w:eastAsia="楷体_GB2312"/>
                <w:b/>
                <w:color w:val="000000"/>
                <w:kern w:val="0"/>
                <w:sz w:val="21"/>
                <w:szCs w:val="21"/>
              </w:rPr>
              <w:t>面 貌</w:t>
            </w:r>
          </w:p>
        </w:tc>
        <w:tc>
          <w:tcPr>
            <w:tcW w:w="1357" w:type="dxa"/>
            <w:gridSpan w:val="2"/>
            <w:vMerge w:val="restart"/>
            <w:tcBorders>
              <w:top w:val="single" w:color="auto" w:sz="2" w:space="0"/>
              <w:left w:val="single" w:color="auto" w:sz="2" w:space="0"/>
              <w:right w:val="single" w:color="auto" w:sz="2" w:space="0"/>
            </w:tcBorders>
            <w:noWrap w:val="0"/>
            <w:vAlign w:val="center"/>
          </w:tcPr>
          <w:p>
            <w:pPr>
              <w:keepNext w:val="0"/>
              <w:keepLines w:val="0"/>
              <w:pageBreakBefore w:val="0"/>
              <w:widowControl w:val="0"/>
              <w:kinsoku/>
              <w:wordWrap/>
              <w:overflowPunct/>
              <w:topLinePunct w:val="0"/>
              <w:autoSpaceDE w:val="0"/>
              <w:autoSpaceDN w:val="0"/>
              <w:bidi w:val="0"/>
              <w:adjustRightInd/>
              <w:snapToGrid/>
              <w:spacing w:line="240" w:lineRule="atLeast"/>
              <w:jc w:val="center"/>
              <w:textAlignment w:val="auto"/>
              <w:rPr>
                <w:rFonts w:hint="eastAsia" w:ascii="楷体_GB2312" w:eastAsia="楷体_GB2312"/>
                <w:b/>
                <w:kern w:val="0"/>
                <w:sz w:val="21"/>
                <w:szCs w:val="21"/>
              </w:rPr>
            </w:pPr>
            <w:r>
              <w:rPr>
                <w:rFonts w:hint="eastAsia" w:ascii="楷体_GB2312" w:eastAsia="楷体_GB2312"/>
                <w:b/>
                <w:kern w:val="0"/>
                <w:sz w:val="21"/>
                <w:szCs w:val="21"/>
              </w:rPr>
              <w:t>群众</w:t>
            </w:r>
          </w:p>
        </w:tc>
        <w:tc>
          <w:tcPr>
            <w:tcW w:w="1067" w:type="dxa"/>
            <w:vMerge w:val="restart"/>
            <w:tcBorders>
              <w:top w:val="single" w:color="auto" w:sz="2" w:space="0"/>
              <w:left w:val="single" w:color="auto" w:sz="2" w:space="0"/>
              <w:right w:val="single" w:color="auto" w:sz="2" w:space="0"/>
            </w:tcBorders>
            <w:noWrap w:val="0"/>
            <w:vAlign w:val="center"/>
          </w:tcPr>
          <w:p>
            <w:pPr>
              <w:keepNext w:val="0"/>
              <w:keepLines w:val="0"/>
              <w:pageBreakBefore w:val="0"/>
              <w:widowControl w:val="0"/>
              <w:kinsoku/>
              <w:wordWrap/>
              <w:overflowPunct/>
              <w:topLinePunct w:val="0"/>
              <w:autoSpaceDE w:val="0"/>
              <w:autoSpaceDN w:val="0"/>
              <w:bidi w:val="0"/>
              <w:adjustRightInd/>
              <w:snapToGrid/>
              <w:spacing w:line="240" w:lineRule="atLeast"/>
              <w:jc w:val="center"/>
              <w:textAlignment w:val="auto"/>
              <w:rPr>
                <w:rFonts w:hint="eastAsia" w:ascii="楷体_GB2312" w:eastAsia="楷体_GB2312"/>
                <w:b/>
                <w:kern w:val="0"/>
                <w:sz w:val="21"/>
                <w:szCs w:val="21"/>
              </w:rPr>
            </w:pPr>
            <w:r>
              <w:rPr>
                <w:rFonts w:hint="eastAsia" w:ascii="楷体_GB2312" w:eastAsia="楷体_GB2312"/>
                <w:b/>
                <w:kern w:val="0"/>
                <w:sz w:val="21"/>
                <w:szCs w:val="21"/>
              </w:rPr>
              <w:t>文化程度</w:t>
            </w:r>
          </w:p>
        </w:tc>
        <w:tc>
          <w:tcPr>
            <w:tcW w:w="864" w:type="dxa"/>
            <w:gridSpan w:val="2"/>
            <w:vMerge w:val="restart"/>
            <w:tcBorders>
              <w:top w:val="single" w:color="auto" w:sz="2" w:space="0"/>
              <w:left w:val="single" w:color="auto" w:sz="2" w:space="0"/>
              <w:right w:val="single" w:color="auto" w:sz="2" w:space="0"/>
            </w:tcBorders>
            <w:noWrap w:val="0"/>
            <w:vAlign w:val="center"/>
          </w:tcPr>
          <w:p>
            <w:pPr>
              <w:keepNext w:val="0"/>
              <w:keepLines w:val="0"/>
              <w:pageBreakBefore w:val="0"/>
              <w:widowControl w:val="0"/>
              <w:kinsoku/>
              <w:wordWrap/>
              <w:overflowPunct/>
              <w:topLinePunct w:val="0"/>
              <w:autoSpaceDE w:val="0"/>
              <w:autoSpaceDN w:val="0"/>
              <w:bidi w:val="0"/>
              <w:adjustRightInd/>
              <w:snapToGrid/>
              <w:spacing w:line="240" w:lineRule="atLeast"/>
              <w:jc w:val="center"/>
              <w:textAlignment w:val="auto"/>
              <w:rPr>
                <w:rFonts w:hint="eastAsia" w:ascii="楷体_GB2312" w:eastAsia="楷体_GB2312"/>
                <w:b/>
                <w:kern w:val="0"/>
                <w:sz w:val="21"/>
                <w:szCs w:val="21"/>
              </w:rPr>
            </w:pPr>
            <w:r>
              <w:rPr>
                <w:rFonts w:hint="eastAsia" w:ascii="楷体_GB2312" w:eastAsia="楷体_GB2312"/>
                <w:b/>
                <w:kern w:val="0"/>
                <w:sz w:val="21"/>
                <w:szCs w:val="21"/>
              </w:rPr>
              <w:t>本科</w:t>
            </w:r>
          </w:p>
        </w:tc>
        <w:tc>
          <w:tcPr>
            <w:tcW w:w="2273" w:type="dxa"/>
            <w:gridSpan w:val="2"/>
            <w:tcBorders>
              <w:top w:val="single" w:color="auto" w:sz="2" w:space="0"/>
              <w:left w:val="single" w:color="auto" w:sz="2" w:space="0"/>
              <w:bottom w:val="single" w:color="auto" w:sz="2" w:space="0"/>
              <w:right w:val="single" w:color="auto" w:sz="2" w:space="0"/>
            </w:tcBorders>
            <w:noWrap w:val="0"/>
            <w:vAlign w:val="center"/>
          </w:tcPr>
          <w:p>
            <w:pPr>
              <w:keepNext w:val="0"/>
              <w:keepLines w:val="0"/>
              <w:pageBreakBefore w:val="0"/>
              <w:widowControl w:val="0"/>
              <w:kinsoku/>
              <w:wordWrap/>
              <w:overflowPunct/>
              <w:topLinePunct w:val="0"/>
              <w:autoSpaceDE w:val="0"/>
              <w:autoSpaceDN w:val="0"/>
              <w:bidi w:val="0"/>
              <w:adjustRightInd/>
              <w:snapToGrid/>
              <w:spacing w:line="240" w:lineRule="atLeast"/>
              <w:jc w:val="center"/>
              <w:textAlignment w:val="auto"/>
              <w:rPr>
                <w:rFonts w:ascii="楷体_GB2312" w:eastAsia="楷体_GB2312"/>
                <w:b/>
                <w:spacing w:val="-30"/>
                <w:kern w:val="0"/>
                <w:sz w:val="21"/>
                <w:szCs w:val="21"/>
              </w:rPr>
            </w:pPr>
            <w:r>
              <w:rPr>
                <w:rFonts w:hint="eastAsia" w:ascii="楷体_GB2312" w:eastAsia="楷体_GB2312"/>
                <w:b/>
                <w:spacing w:val="-30"/>
                <w:kern w:val="0"/>
                <w:sz w:val="21"/>
                <w:szCs w:val="21"/>
              </w:rPr>
              <w:t>现聘岗位类别、等级</w:t>
            </w:r>
          </w:p>
        </w:tc>
        <w:tc>
          <w:tcPr>
            <w:tcW w:w="4187" w:type="dxa"/>
            <w:gridSpan w:val="2"/>
            <w:tcBorders>
              <w:top w:val="single" w:color="auto" w:sz="2" w:space="0"/>
              <w:left w:val="single" w:color="auto" w:sz="2" w:space="0"/>
              <w:bottom w:val="single" w:color="auto" w:sz="2" w:space="0"/>
              <w:right w:val="single" w:color="auto" w:sz="12" w:space="0"/>
            </w:tcBorders>
            <w:noWrap w:val="0"/>
            <w:vAlign w:val="center"/>
          </w:tcPr>
          <w:p>
            <w:pPr>
              <w:keepNext w:val="0"/>
              <w:keepLines w:val="0"/>
              <w:pageBreakBefore w:val="0"/>
              <w:widowControl w:val="0"/>
              <w:kinsoku/>
              <w:wordWrap/>
              <w:overflowPunct/>
              <w:topLinePunct w:val="0"/>
              <w:autoSpaceDE w:val="0"/>
              <w:autoSpaceDN w:val="0"/>
              <w:bidi w:val="0"/>
              <w:adjustRightInd/>
              <w:snapToGrid/>
              <w:spacing w:line="240" w:lineRule="atLeast"/>
              <w:jc w:val="center"/>
              <w:textAlignment w:val="auto"/>
              <w:rPr>
                <w:rFonts w:hint="eastAsia" w:ascii="楷体_GB2312" w:eastAsia="楷体_GB2312"/>
                <w:b/>
                <w:kern w:val="0"/>
                <w:sz w:val="21"/>
                <w:szCs w:val="21"/>
              </w:rPr>
            </w:pPr>
            <w:r>
              <w:rPr>
                <w:rFonts w:hint="eastAsia" w:ascii="楷体_GB2312" w:eastAsia="楷体_GB2312"/>
                <w:b/>
                <w:kern w:val="0"/>
                <w:sz w:val="21"/>
                <w:szCs w:val="21"/>
              </w:rPr>
              <w:t>10</w:t>
            </w:r>
          </w:p>
        </w:tc>
      </w:tr>
      <w:tr>
        <w:tblPrEx>
          <w:tblCellMar>
            <w:top w:w="0" w:type="dxa"/>
            <w:left w:w="0" w:type="dxa"/>
            <w:bottom w:w="0" w:type="dxa"/>
            <w:right w:w="0" w:type="dxa"/>
          </w:tblCellMar>
        </w:tblPrEx>
        <w:trPr>
          <w:trHeight w:val="151" w:hRule="atLeast"/>
          <w:jc w:val="center"/>
        </w:trPr>
        <w:tc>
          <w:tcPr>
            <w:tcW w:w="1044" w:type="dxa"/>
            <w:gridSpan w:val="2"/>
            <w:vMerge w:val="continue"/>
            <w:tcBorders>
              <w:left w:val="single" w:color="auto" w:sz="12" w:space="0"/>
              <w:bottom w:val="single" w:color="auto" w:sz="8" w:space="0"/>
              <w:right w:val="single" w:color="auto" w:sz="2" w:space="0"/>
            </w:tcBorders>
            <w:noWrap w:val="0"/>
            <w:vAlign w:val="center"/>
          </w:tcPr>
          <w:p>
            <w:pPr>
              <w:keepNext w:val="0"/>
              <w:keepLines w:val="0"/>
              <w:pageBreakBefore w:val="0"/>
              <w:widowControl w:val="0"/>
              <w:kinsoku/>
              <w:wordWrap/>
              <w:overflowPunct/>
              <w:topLinePunct w:val="0"/>
              <w:autoSpaceDE w:val="0"/>
              <w:autoSpaceDN w:val="0"/>
              <w:bidi w:val="0"/>
              <w:adjustRightInd/>
              <w:snapToGrid/>
              <w:spacing w:line="240" w:lineRule="atLeast"/>
              <w:jc w:val="center"/>
              <w:textAlignment w:val="auto"/>
              <w:rPr>
                <w:rFonts w:hint="eastAsia" w:ascii="楷体_GB2312" w:eastAsia="楷体_GB2312"/>
                <w:b/>
                <w:color w:val="000000"/>
                <w:kern w:val="0"/>
                <w:sz w:val="21"/>
                <w:szCs w:val="21"/>
              </w:rPr>
            </w:pPr>
          </w:p>
        </w:tc>
        <w:tc>
          <w:tcPr>
            <w:tcW w:w="1357" w:type="dxa"/>
            <w:gridSpan w:val="2"/>
            <w:vMerge w:val="continue"/>
            <w:tcBorders>
              <w:left w:val="single" w:color="auto" w:sz="2" w:space="0"/>
              <w:bottom w:val="single" w:color="auto" w:sz="8" w:space="0"/>
              <w:right w:val="single" w:color="auto" w:sz="2" w:space="0"/>
            </w:tcBorders>
            <w:noWrap w:val="0"/>
            <w:vAlign w:val="center"/>
          </w:tcPr>
          <w:p>
            <w:pPr>
              <w:keepNext w:val="0"/>
              <w:keepLines w:val="0"/>
              <w:pageBreakBefore w:val="0"/>
              <w:widowControl w:val="0"/>
              <w:kinsoku/>
              <w:wordWrap/>
              <w:overflowPunct/>
              <w:topLinePunct w:val="0"/>
              <w:autoSpaceDE w:val="0"/>
              <w:autoSpaceDN w:val="0"/>
              <w:bidi w:val="0"/>
              <w:adjustRightInd/>
              <w:snapToGrid/>
              <w:spacing w:line="240" w:lineRule="atLeast"/>
              <w:jc w:val="center"/>
              <w:textAlignment w:val="auto"/>
              <w:rPr>
                <w:rFonts w:hint="eastAsia" w:ascii="楷体_GB2312" w:eastAsia="楷体_GB2312"/>
                <w:b/>
                <w:kern w:val="0"/>
                <w:sz w:val="21"/>
                <w:szCs w:val="21"/>
              </w:rPr>
            </w:pPr>
          </w:p>
        </w:tc>
        <w:tc>
          <w:tcPr>
            <w:tcW w:w="1067" w:type="dxa"/>
            <w:vMerge w:val="continue"/>
            <w:tcBorders>
              <w:left w:val="single" w:color="auto" w:sz="2" w:space="0"/>
              <w:bottom w:val="single" w:color="auto" w:sz="8" w:space="0"/>
              <w:right w:val="single" w:color="auto" w:sz="2" w:space="0"/>
            </w:tcBorders>
            <w:noWrap w:val="0"/>
            <w:vAlign w:val="center"/>
          </w:tcPr>
          <w:p>
            <w:pPr>
              <w:keepNext w:val="0"/>
              <w:keepLines w:val="0"/>
              <w:pageBreakBefore w:val="0"/>
              <w:widowControl w:val="0"/>
              <w:kinsoku/>
              <w:wordWrap/>
              <w:overflowPunct/>
              <w:topLinePunct w:val="0"/>
              <w:autoSpaceDE w:val="0"/>
              <w:autoSpaceDN w:val="0"/>
              <w:bidi w:val="0"/>
              <w:adjustRightInd/>
              <w:snapToGrid/>
              <w:spacing w:line="240" w:lineRule="atLeast"/>
              <w:jc w:val="center"/>
              <w:textAlignment w:val="auto"/>
              <w:rPr>
                <w:rFonts w:hint="eastAsia" w:ascii="楷体_GB2312" w:eastAsia="楷体_GB2312"/>
                <w:b/>
                <w:kern w:val="0"/>
                <w:sz w:val="21"/>
                <w:szCs w:val="21"/>
              </w:rPr>
            </w:pPr>
          </w:p>
        </w:tc>
        <w:tc>
          <w:tcPr>
            <w:tcW w:w="864" w:type="dxa"/>
            <w:gridSpan w:val="2"/>
            <w:vMerge w:val="continue"/>
            <w:tcBorders>
              <w:left w:val="single" w:color="auto" w:sz="2" w:space="0"/>
              <w:bottom w:val="single" w:color="auto" w:sz="8" w:space="0"/>
              <w:right w:val="single" w:color="auto" w:sz="2" w:space="0"/>
            </w:tcBorders>
            <w:noWrap w:val="0"/>
            <w:vAlign w:val="center"/>
          </w:tcPr>
          <w:p>
            <w:pPr>
              <w:keepNext w:val="0"/>
              <w:keepLines w:val="0"/>
              <w:pageBreakBefore w:val="0"/>
              <w:widowControl w:val="0"/>
              <w:kinsoku/>
              <w:wordWrap/>
              <w:overflowPunct/>
              <w:topLinePunct w:val="0"/>
              <w:autoSpaceDE w:val="0"/>
              <w:autoSpaceDN w:val="0"/>
              <w:bidi w:val="0"/>
              <w:adjustRightInd/>
              <w:snapToGrid/>
              <w:spacing w:line="240" w:lineRule="atLeast"/>
              <w:jc w:val="center"/>
              <w:textAlignment w:val="auto"/>
              <w:rPr>
                <w:rFonts w:hint="eastAsia" w:ascii="楷体_GB2312" w:eastAsia="楷体_GB2312"/>
                <w:b/>
                <w:kern w:val="0"/>
                <w:sz w:val="21"/>
                <w:szCs w:val="21"/>
              </w:rPr>
            </w:pPr>
          </w:p>
        </w:tc>
        <w:tc>
          <w:tcPr>
            <w:tcW w:w="2273" w:type="dxa"/>
            <w:gridSpan w:val="2"/>
            <w:tcBorders>
              <w:top w:val="single" w:color="auto" w:sz="2" w:space="0"/>
              <w:left w:val="single" w:color="auto" w:sz="2" w:space="0"/>
              <w:bottom w:val="single" w:color="auto" w:sz="8" w:space="0"/>
              <w:right w:val="single" w:color="auto" w:sz="2" w:space="0"/>
            </w:tcBorders>
            <w:noWrap w:val="0"/>
            <w:vAlign w:val="center"/>
          </w:tcPr>
          <w:p>
            <w:pPr>
              <w:keepNext w:val="0"/>
              <w:keepLines w:val="0"/>
              <w:pageBreakBefore w:val="0"/>
              <w:widowControl w:val="0"/>
              <w:kinsoku/>
              <w:wordWrap/>
              <w:overflowPunct/>
              <w:topLinePunct w:val="0"/>
              <w:autoSpaceDE w:val="0"/>
              <w:autoSpaceDN w:val="0"/>
              <w:bidi w:val="0"/>
              <w:adjustRightInd/>
              <w:snapToGrid/>
              <w:spacing w:line="240" w:lineRule="atLeast"/>
              <w:jc w:val="center"/>
              <w:textAlignment w:val="auto"/>
              <w:rPr>
                <w:rFonts w:hint="eastAsia" w:ascii="楷体_GB2312" w:eastAsia="楷体_GB2312"/>
                <w:b/>
                <w:kern w:val="0"/>
                <w:sz w:val="21"/>
                <w:szCs w:val="21"/>
              </w:rPr>
            </w:pPr>
            <w:r>
              <w:rPr>
                <w:rFonts w:hint="eastAsia" w:ascii="楷体_GB2312" w:eastAsia="楷体_GB2312"/>
                <w:b/>
                <w:kern w:val="0"/>
                <w:sz w:val="21"/>
                <w:szCs w:val="21"/>
              </w:rPr>
              <w:t>起聘时间</w:t>
            </w:r>
          </w:p>
        </w:tc>
        <w:tc>
          <w:tcPr>
            <w:tcW w:w="4187" w:type="dxa"/>
            <w:gridSpan w:val="2"/>
            <w:tcBorders>
              <w:top w:val="single" w:color="auto" w:sz="2" w:space="0"/>
              <w:left w:val="single" w:color="auto" w:sz="2" w:space="0"/>
              <w:bottom w:val="single" w:color="auto" w:sz="8" w:space="0"/>
              <w:right w:val="single" w:color="auto" w:sz="12" w:space="0"/>
            </w:tcBorders>
            <w:noWrap w:val="0"/>
            <w:vAlign w:val="center"/>
          </w:tcPr>
          <w:p>
            <w:pPr>
              <w:keepNext w:val="0"/>
              <w:keepLines w:val="0"/>
              <w:pageBreakBefore w:val="0"/>
              <w:widowControl w:val="0"/>
              <w:kinsoku/>
              <w:wordWrap/>
              <w:overflowPunct/>
              <w:topLinePunct w:val="0"/>
              <w:autoSpaceDE w:val="0"/>
              <w:autoSpaceDN w:val="0"/>
              <w:bidi w:val="0"/>
              <w:adjustRightInd/>
              <w:snapToGrid/>
              <w:spacing w:line="240" w:lineRule="atLeast"/>
              <w:jc w:val="center"/>
              <w:textAlignment w:val="auto"/>
              <w:rPr>
                <w:rFonts w:hint="eastAsia" w:ascii="楷体_GB2312" w:eastAsia="楷体_GB2312"/>
                <w:b/>
                <w:kern w:val="0"/>
                <w:sz w:val="21"/>
                <w:szCs w:val="21"/>
              </w:rPr>
            </w:pPr>
            <w:r>
              <w:rPr>
                <w:rFonts w:hint="eastAsia" w:ascii="楷体_GB2312" w:eastAsia="楷体_GB2312"/>
                <w:b/>
                <w:kern w:val="0"/>
                <w:sz w:val="21"/>
                <w:szCs w:val="21"/>
              </w:rPr>
              <w:t>2017.06</w:t>
            </w:r>
          </w:p>
        </w:tc>
      </w:tr>
      <w:tr>
        <w:tblPrEx>
          <w:tblCellMar>
            <w:top w:w="0" w:type="dxa"/>
            <w:left w:w="0" w:type="dxa"/>
            <w:bottom w:w="0" w:type="dxa"/>
            <w:right w:w="0" w:type="dxa"/>
          </w:tblCellMar>
        </w:tblPrEx>
        <w:trPr>
          <w:trHeight w:val="151" w:hRule="atLeast"/>
          <w:jc w:val="center"/>
        </w:trPr>
        <w:tc>
          <w:tcPr>
            <w:tcW w:w="1778" w:type="dxa"/>
            <w:gridSpan w:val="3"/>
            <w:tcBorders>
              <w:top w:val="single" w:color="auto" w:sz="8" w:space="0"/>
              <w:left w:val="single" w:color="auto" w:sz="12" w:space="0"/>
              <w:bottom w:val="single" w:color="auto" w:sz="4" w:space="0"/>
              <w:right w:val="single" w:color="auto" w:sz="4" w:space="0"/>
            </w:tcBorders>
            <w:noWrap w:val="0"/>
            <w:vAlign w:val="top"/>
          </w:tcPr>
          <w:p>
            <w:pPr>
              <w:keepNext w:val="0"/>
              <w:keepLines w:val="0"/>
              <w:pageBreakBefore w:val="0"/>
              <w:widowControl w:val="0"/>
              <w:kinsoku/>
              <w:wordWrap/>
              <w:overflowPunct/>
              <w:topLinePunct w:val="0"/>
              <w:autoSpaceDE w:val="0"/>
              <w:autoSpaceDN w:val="0"/>
              <w:bidi w:val="0"/>
              <w:adjustRightInd/>
              <w:snapToGrid/>
              <w:spacing w:line="240" w:lineRule="atLeast"/>
              <w:jc w:val="center"/>
              <w:textAlignment w:val="auto"/>
              <w:rPr>
                <w:rFonts w:hint="eastAsia" w:ascii="楷体_GB2312" w:eastAsia="楷体_GB2312"/>
                <w:b/>
                <w:kern w:val="0"/>
                <w:sz w:val="21"/>
                <w:szCs w:val="21"/>
              </w:rPr>
            </w:pPr>
            <w:r>
              <w:rPr>
                <w:rFonts w:hint="eastAsia" w:ascii="楷体_GB2312" w:eastAsia="楷体_GB2312"/>
                <w:b/>
                <w:kern w:val="0"/>
                <w:sz w:val="21"/>
                <w:szCs w:val="21"/>
              </w:rPr>
              <w:t>工作单位及职务</w:t>
            </w:r>
          </w:p>
        </w:tc>
        <w:tc>
          <w:tcPr>
            <w:tcW w:w="9014" w:type="dxa"/>
            <w:gridSpan w:val="8"/>
            <w:tcBorders>
              <w:top w:val="single" w:color="auto" w:sz="8" w:space="0"/>
              <w:left w:val="single" w:color="auto" w:sz="4" w:space="0"/>
              <w:bottom w:val="single" w:color="auto" w:sz="4" w:space="0"/>
              <w:right w:val="single" w:color="auto" w:sz="12" w:space="0"/>
            </w:tcBorders>
            <w:noWrap w:val="0"/>
            <w:vAlign w:val="top"/>
          </w:tcPr>
          <w:p>
            <w:pPr>
              <w:keepNext w:val="0"/>
              <w:keepLines w:val="0"/>
              <w:pageBreakBefore w:val="0"/>
              <w:widowControl w:val="0"/>
              <w:kinsoku/>
              <w:wordWrap/>
              <w:overflowPunct/>
              <w:topLinePunct w:val="0"/>
              <w:autoSpaceDE w:val="0"/>
              <w:autoSpaceDN w:val="0"/>
              <w:bidi w:val="0"/>
              <w:adjustRightInd/>
              <w:snapToGrid/>
              <w:spacing w:line="240" w:lineRule="atLeast"/>
              <w:textAlignment w:val="auto"/>
              <w:rPr>
                <w:rFonts w:hint="eastAsia" w:ascii="楷体_GB2312" w:eastAsia="楷体_GB2312"/>
                <w:b/>
                <w:kern w:val="0"/>
                <w:sz w:val="21"/>
                <w:szCs w:val="21"/>
              </w:rPr>
            </w:pPr>
            <w:r>
              <w:rPr>
                <w:rFonts w:hint="eastAsia" w:ascii="楷体_GB2312" w:eastAsia="楷体_GB2312"/>
                <w:b/>
                <w:kern w:val="0"/>
                <w:sz w:val="21"/>
                <w:szCs w:val="21"/>
              </w:rPr>
              <w:t>信息</w:t>
            </w:r>
            <w:r>
              <w:rPr>
                <w:rFonts w:ascii="楷体_GB2312" w:eastAsia="楷体_GB2312"/>
                <w:b/>
                <w:kern w:val="0"/>
                <w:sz w:val="21"/>
                <w:szCs w:val="21"/>
              </w:rPr>
              <w:t>化部副部长</w:t>
            </w:r>
          </w:p>
        </w:tc>
      </w:tr>
      <w:tr>
        <w:tblPrEx>
          <w:tblCellMar>
            <w:top w:w="0" w:type="dxa"/>
            <w:left w:w="0" w:type="dxa"/>
            <w:bottom w:w="0" w:type="dxa"/>
            <w:right w:w="0" w:type="dxa"/>
          </w:tblCellMar>
        </w:tblPrEx>
        <w:trPr>
          <w:trHeight w:val="90" w:hRule="atLeast"/>
          <w:jc w:val="center"/>
        </w:trPr>
        <w:tc>
          <w:tcPr>
            <w:tcW w:w="1778" w:type="dxa"/>
            <w:gridSpan w:val="3"/>
            <w:tcBorders>
              <w:top w:val="single" w:color="auto" w:sz="4" w:space="0"/>
              <w:left w:val="single" w:color="auto" w:sz="12" w:space="0"/>
              <w:bottom w:val="single" w:color="auto" w:sz="8" w:space="0"/>
              <w:right w:val="single" w:color="auto" w:sz="4" w:space="0"/>
            </w:tcBorders>
            <w:noWrap w:val="0"/>
            <w:vAlign w:val="top"/>
          </w:tcPr>
          <w:p>
            <w:pPr>
              <w:keepNext w:val="0"/>
              <w:keepLines w:val="0"/>
              <w:pageBreakBefore w:val="0"/>
              <w:widowControl w:val="0"/>
              <w:kinsoku/>
              <w:wordWrap/>
              <w:overflowPunct/>
              <w:topLinePunct w:val="0"/>
              <w:autoSpaceDE w:val="0"/>
              <w:autoSpaceDN w:val="0"/>
              <w:bidi w:val="0"/>
              <w:adjustRightInd/>
              <w:snapToGrid/>
              <w:spacing w:line="240" w:lineRule="atLeast"/>
              <w:jc w:val="center"/>
              <w:textAlignment w:val="auto"/>
              <w:rPr>
                <w:rFonts w:hint="eastAsia" w:ascii="楷体_GB2312" w:eastAsia="楷体_GB2312"/>
                <w:b/>
                <w:kern w:val="0"/>
                <w:sz w:val="21"/>
                <w:szCs w:val="21"/>
              </w:rPr>
            </w:pPr>
            <w:r>
              <w:rPr>
                <w:rFonts w:hint="eastAsia" w:ascii="楷体_GB2312" w:eastAsia="楷体_GB2312"/>
                <w:b/>
                <w:kern w:val="0"/>
                <w:sz w:val="21"/>
                <w:szCs w:val="21"/>
              </w:rPr>
              <w:t>分管（从事）工作</w:t>
            </w:r>
          </w:p>
        </w:tc>
        <w:tc>
          <w:tcPr>
            <w:tcW w:w="9014" w:type="dxa"/>
            <w:gridSpan w:val="8"/>
            <w:tcBorders>
              <w:top w:val="single" w:color="auto" w:sz="4" w:space="0"/>
              <w:left w:val="single" w:color="auto" w:sz="4" w:space="0"/>
              <w:bottom w:val="single" w:color="auto" w:sz="8" w:space="0"/>
              <w:right w:val="single" w:color="auto" w:sz="12" w:space="0"/>
            </w:tcBorders>
            <w:noWrap w:val="0"/>
            <w:vAlign w:val="top"/>
          </w:tcPr>
          <w:p>
            <w:pPr>
              <w:keepNext w:val="0"/>
              <w:keepLines w:val="0"/>
              <w:pageBreakBefore w:val="0"/>
              <w:widowControl w:val="0"/>
              <w:kinsoku/>
              <w:wordWrap/>
              <w:overflowPunct/>
              <w:topLinePunct w:val="0"/>
              <w:autoSpaceDE w:val="0"/>
              <w:autoSpaceDN w:val="0"/>
              <w:bidi w:val="0"/>
              <w:adjustRightInd/>
              <w:snapToGrid/>
              <w:spacing w:line="240" w:lineRule="atLeast"/>
              <w:textAlignment w:val="auto"/>
              <w:rPr>
                <w:rFonts w:hint="eastAsia" w:ascii="楷体_GB2312" w:eastAsia="楷体_GB2312"/>
                <w:b/>
                <w:bCs/>
                <w:kern w:val="0"/>
                <w:sz w:val="21"/>
                <w:szCs w:val="21"/>
              </w:rPr>
            </w:pPr>
            <w:r>
              <w:rPr>
                <w:rFonts w:hint="eastAsia" w:ascii="楷体_GB2312" w:eastAsia="楷体_GB2312"/>
                <w:b/>
                <w:bCs/>
                <w:kern w:val="0"/>
                <w:sz w:val="21"/>
                <w:szCs w:val="21"/>
                <w:lang w:val="en-US" w:eastAsia="zh-CN"/>
              </w:rPr>
              <w:t>院内</w:t>
            </w:r>
            <w:r>
              <w:rPr>
                <w:rFonts w:hint="eastAsia" w:ascii="楷体_GB2312" w:eastAsia="楷体_GB2312"/>
                <w:b/>
                <w:bCs/>
                <w:kern w:val="0"/>
                <w:sz w:val="21"/>
                <w:szCs w:val="21"/>
              </w:rPr>
              <w:t>信息化软件</w:t>
            </w:r>
          </w:p>
        </w:tc>
      </w:tr>
      <w:tr>
        <w:tblPrEx>
          <w:tblCellMar>
            <w:top w:w="0" w:type="dxa"/>
            <w:left w:w="0" w:type="dxa"/>
            <w:bottom w:w="0" w:type="dxa"/>
            <w:right w:w="0" w:type="dxa"/>
          </w:tblCellMar>
        </w:tblPrEx>
        <w:trPr>
          <w:trHeight w:val="4519" w:hRule="atLeast"/>
          <w:jc w:val="center"/>
        </w:trPr>
        <w:tc>
          <w:tcPr>
            <w:tcW w:w="520" w:type="dxa"/>
            <w:tcBorders>
              <w:top w:val="single" w:color="auto" w:sz="8" w:space="0"/>
              <w:left w:val="single" w:color="auto" w:sz="12" w:space="0"/>
              <w:bottom w:val="single" w:color="auto" w:sz="8" w:space="0"/>
              <w:right w:val="single" w:color="auto" w:sz="8" w:space="0"/>
            </w:tcBorders>
            <w:noWrap w:val="0"/>
            <w:vAlign w:val="center"/>
          </w:tcPr>
          <w:p>
            <w:pPr>
              <w:autoSpaceDE w:val="0"/>
              <w:autoSpaceDN w:val="0"/>
              <w:jc w:val="center"/>
              <w:rPr>
                <w:rFonts w:hint="eastAsia" w:ascii="楷体_GB2312" w:eastAsia="楷体_GB2312"/>
                <w:b/>
                <w:color w:val="000000"/>
                <w:kern w:val="0"/>
                <w:szCs w:val="21"/>
              </w:rPr>
            </w:pPr>
            <w:r>
              <w:rPr>
                <w:rFonts w:hint="eastAsia" w:ascii="楷体_GB2312" w:eastAsia="楷体_GB2312"/>
                <w:b/>
                <w:color w:val="000000"/>
                <w:kern w:val="0"/>
                <w:szCs w:val="21"/>
              </w:rPr>
              <w:t>本</w:t>
            </w:r>
          </w:p>
          <w:p>
            <w:pPr>
              <w:autoSpaceDE w:val="0"/>
              <w:autoSpaceDN w:val="0"/>
              <w:jc w:val="center"/>
              <w:rPr>
                <w:rFonts w:hint="eastAsia" w:ascii="楷体_GB2312" w:eastAsia="楷体_GB2312"/>
                <w:b/>
                <w:color w:val="000000"/>
                <w:kern w:val="0"/>
                <w:szCs w:val="21"/>
              </w:rPr>
            </w:pPr>
            <w:r>
              <w:rPr>
                <w:rFonts w:hint="eastAsia" w:ascii="楷体_GB2312" w:eastAsia="楷体_GB2312"/>
                <w:b/>
                <w:color w:val="000000"/>
                <w:kern w:val="0"/>
                <w:szCs w:val="21"/>
              </w:rPr>
              <w:t>人</w:t>
            </w:r>
          </w:p>
          <w:p>
            <w:pPr>
              <w:autoSpaceDE w:val="0"/>
              <w:autoSpaceDN w:val="0"/>
              <w:jc w:val="center"/>
              <w:rPr>
                <w:rFonts w:hint="eastAsia" w:ascii="楷体_GB2312" w:eastAsia="楷体_GB2312"/>
                <w:b/>
                <w:color w:val="000000"/>
                <w:kern w:val="0"/>
                <w:szCs w:val="21"/>
              </w:rPr>
            </w:pPr>
            <w:r>
              <w:rPr>
                <w:rFonts w:hint="eastAsia" w:ascii="楷体_GB2312" w:eastAsia="楷体_GB2312"/>
                <w:b/>
                <w:color w:val="000000"/>
                <w:kern w:val="0"/>
                <w:szCs w:val="21"/>
              </w:rPr>
              <w:t>述</w:t>
            </w:r>
          </w:p>
          <w:p>
            <w:pPr>
              <w:autoSpaceDE w:val="0"/>
              <w:autoSpaceDN w:val="0"/>
              <w:jc w:val="center"/>
              <w:rPr>
                <w:rFonts w:hint="eastAsia" w:ascii="楷体_GB2312" w:eastAsia="楷体_GB2312"/>
                <w:color w:val="000000"/>
                <w:kern w:val="0"/>
                <w:szCs w:val="21"/>
              </w:rPr>
            </w:pPr>
            <w:r>
              <w:rPr>
                <w:rFonts w:hint="eastAsia" w:ascii="楷体_GB2312" w:eastAsia="楷体_GB2312"/>
                <w:b/>
                <w:color w:val="000000"/>
                <w:kern w:val="0"/>
                <w:szCs w:val="21"/>
              </w:rPr>
              <w:t>职</w:t>
            </w:r>
          </w:p>
        </w:tc>
        <w:tc>
          <w:tcPr>
            <w:tcW w:w="10272" w:type="dxa"/>
            <w:gridSpan w:val="10"/>
            <w:tcBorders>
              <w:top w:val="single" w:color="auto" w:sz="4" w:space="0"/>
              <w:left w:val="single" w:color="auto" w:sz="8" w:space="0"/>
              <w:bottom w:val="single" w:color="auto" w:sz="8" w:space="0"/>
              <w:right w:val="single" w:color="auto" w:sz="12" w:space="0"/>
            </w:tcBorders>
            <w:noWrap w:val="0"/>
            <w:vAlign w:val="center"/>
          </w:tcPr>
          <w:p>
            <w:pPr>
              <w:spacing w:line="276" w:lineRule="exact"/>
              <w:ind w:firstLine="420" w:firstLineChars="200"/>
              <w:contextualSpacing/>
              <w:jc w:val="left"/>
              <w:rPr>
                <w:rFonts w:hint="eastAsia" w:ascii="宋体" w:hAnsi="宋体"/>
                <w:szCs w:val="21"/>
              </w:rPr>
            </w:pPr>
            <w:r>
              <w:rPr>
                <w:rFonts w:hint="eastAsia" w:ascii="宋体" w:hAnsi="宋体"/>
                <w:szCs w:val="21"/>
                <w:lang w:val="en-US" w:eastAsia="zh-CN"/>
              </w:rPr>
              <w:t>2024</w:t>
            </w:r>
            <w:r>
              <w:rPr>
                <w:rFonts w:hint="eastAsia" w:ascii="宋体" w:hAnsi="宋体"/>
                <w:szCs w:val="21"/>
              </w:rPr>
              <w:t xml:space="preserve">年度，在医院党委及医院领导的正确领导和支持下，在部门领导的帮助指导下，经全部门同志的共同努力，完成了相关目标任务，取得一定的成果。现将工作情况总结报告如下： </w:t>
            </w:r>
          </w:p>
          <w:p>
            <w:pPr>
              <w:spacing w:line="276" w:lineRule="exact"/>
              <w:ind w:firstLine="422" w:firstLineChars="200"/>
              <w:contextualSpacing/>
              <w:jc w:val="left"/>
              <w:rPr>
                <w:rFonts w:hint="eastAsia" w:ascii="宋体" w:hAnsi="宋体"/>
                <w:b/>
                <w:bCs/>
                <w:szCs w:val="21"/>
              </w:rPr>
            </w:pPr>
            <w:r>
              <w:rPr>
                <w:rFonts w:hint="eastAsia" w:ascii="宋体" w:hAnsi="宋体"/>
                <w:b/>
                <w:bCs/>
                <w:szCs w:val="21"/>
              </w:rPr>
              <w:t>一、主要工作完成情况</w:t>
            </w:r>
          </w:p>
          <w:p>
            <w:pPr>
              <w:spacing w:line="276" w:lineRule="exact"/>
              <w:ind w:firstLine="420" w:firstLineChars="200"/>
              <w:contextualSpacing/>
              <w:jc w:val="left"/>
              <w:rPr>
                <w:rFonts w:hint="eastAsia" w:ascii="宋体" w:hAnsi="宋体"/>
                <w:szCs w:val="21"/>
                <w:lang w:val="en-US" w:eastAsia="zh-CN"/>
              </w:rPr>
            </w:pPr>
            <w:r>
              <w:rPr>
                <w:rFonts w:hint="eastAsia" w:ascii="宋体" w:hAnsi="宋体"/>
                <w:szCs w:val="21"/>
                <w:lang w:val="en-US" w:eastAsia="zh-CN"/>
              </w:rPr>
              <w:t>在过去的半年里，尽管面临团队离职两人的挑战，依然高效且全面地推进了各项任务。我们成功处理了903项新增软件修改需求，解决了807项日常反馈的重要问题，并有效处理天府院区和本部院区超过4900个电话、各科室信息系统高级用户群、科室联系群等超5066条咨询与问题排查。在病历测评领域，完成了47项功能调整任务指标，数据质量核查覆盖了161个关键指标，并深入剖析了存在的问题。同时，我们积极处理客户端问题，包括微信差异退费412笔、协助排查处理医保缴费问题110笔，以及其他渠道（如POS、自助机）的95笔以上问题。在内部管理上，我们根据科室需求，新增/调整了72个OA流程，制作了88张电子签名U盾。此外，新增并调整了超过910项医嘱。在项目管理方面，目前同时管理了19个项目，并与科室沟通为52个待采项目拟定参数。</w:t>
            </w:r>
          </w:p>
          <w:p>
            <w:pPr>
              <w:spacing w:line="276" w:lineRule="exact"/>
              <w:ind w:firstLine="422" w:firstLineChars="200"/>
              <w:contextualSpacing/>
              <w:jc w:val="left"/>
              <w:rPr>
                <w:rFonts w:hint="eastAsia" w:ascii="宋体" w:hAnsi="宋体"/>
                <w:b/>
                <w:bCs/>
                <w:szCs w:val="21"/>
                <w:lang w:val="en-US" w:eastAsia="zh-CN"/>
              </w:rPr>
            </w:pPr>
            <w:r>
              <w:rPr>
                <w:rFonts w:hint="eastAsia" w:ascii="宋体" w:hAnsi="宋体"/>
                <w:b/>
                <w:bCs/>
                <w:szCs w:val="21"/>
                <w:lang w:val="en-US" w:eastAsia="zh-CN"/>
              </w:rPr>
              <w:t>二、政策性指标项目情况</w:t>
            </w:r>
          </w:p>
          <w:p>
            <w:pPr>
              <w:spacing w:line="276" w:lineRule="exact"/>
              <w:ind w:firstLine="420" w:firstLineChars="200"/>
              <w:contextualSpacing/>
              <w:jc w:val="left"/>
              <w:rPr>
                <w:rFonts w:hint="eastAsia" w:ascii="宋体" w:hAnsi="宋体"/>
                <w:szCs w:val="21"/>
                <w:lang w:val="en-US" w:eastAsia="zh-CN"/>
              </w:rPr>
            </w:pPr>
            <w:r>
              <w:rPr>
                <w:rFonts w:hint="eastAsia" w:ascii="宋体" w:hAnsi="宋体"/>
                <w:szCs w:val="21"/>
                <w:lang w:val="en-US" w:eastAsia="zh-CN"/>
              </w:rPr>
              <w:t>（一）电子病历测评方面。已识别59条待整改项，完成47条，剩余集中于采购、管理规则及系统应用。数据质量核查方面，161条问题已详细核查并分析成因。信息化部与医务部各派一人负责实证材料准备，已顺利通过省级文档审核，正备战国家级审核。接下来，我们将重点聚焦信息领域整改，全力配合管理部门，确保整改措施有效落实。</w:t>
            </w:r>
          </w:p>
          <w:p>
            <w:pPr>
              <w:spacing w:line="276" w:lineRule="exact"/>
              <w:ind w:firstLine="420" w:firstLineChars="200"/>
              <w:contextualSpacing/>
              <w:jc w:val="left"/>
              <w:rPr>
                <w:rFonts w:hint="eastAsia" w:ascii="宋体" w:hAnsi="宋体"/>
                <w:szCs w:val="21"/>
                <w:lang w:val="en-US" w:eastAsia="zh-CN"/>
              </w:rPr>
            </w:pPr>
            <w:r>
              <w:rPr>
                <w:rFonts w:hint="eastAsia" w:ascii="宋体" w:hAnsi="宋体"/>
                <w:szCs w:val="21"/>
                <w:lang w:val="en-US" w:eastAsia="zh-CN"/>
              </w:rPr>
              <w:t>（二）智慧管理方面。智慧管理办公室组织各职能部门进行了自评，并针对自评中发现的不足，通过系统建设等措施进行了改进和提升。</w:t>
            </w:r>
            <w:r>
              <w:rPr>
                <w:rFonts w:hint="eastAsia" w:ascii="宋体" w:hAnsi="宋体"/>
                <w:b/>
                <w:bCs/>
                <w:szCs w:val="21"/>
                <w:lang w:val="en-US" w:eastAsia="zh-CN"/>
              </w:rPr>
              <w:t>一是，6月11日，医院全新升级的OA系统和医学考试系统上线工作</w:t>
            </w:r>
            <w:r>
              <w:rPr>
                <w:rFonts w:hint="eastAsia" w:ascii="宋体" w:hAnsi="宋体"/>
                <w:szCs w:val="21"/>
                <w:lang w:val="en-US" w:eastAsia="zh-CN"/>
              </w:rPr>
              <w:t>，此次升级共更新了15个核心模块，极大地优化了移动端的使用体验，并显著增强了系统的安全防护能力。截至目前，该系统已涵盖22个大类、302项具体流程，自上线至11月底，已成功承载并平稳运行了3.5万条流程，</w:t>
            </w:r>
            <w:r>
              <w:rPr>
                <w:rFonts w:hint="eastAsia" w:ascii="宋体" w:hAnsi="宋体"/>
                <w:b/>
                <w:bCs/>
                <w:szCs w:val="21"/>
                <w:lang w:val="en-US" w:eastAsia="zh-CN"/>
              </w:rPr>
              <w:t>已与人力资源系统、临床药学管理系统、药师审方干预系统、集采药品管理系统、招标采购系统等进行集成</w:t>
            </w:r>
            <w:r>
              <w:rPr>
                <w:rFonts w:hint="eastAsia" w:ascii="宋体" w:hAnsi="宋体"/>
                <w:szCs w:val="21"/>
                <w:lang w:val="en-US" w:eastAsia="zh-CN"/>
              </w:rPr>
              <w:t>，管理效率进一步提升。</w:t>
            </w:r>
            <w:r>
              <w:rPr>
                <w:rFonts w:hint="eastAsia" w:ascii="宋体" w:hAnsi="宋体"/>
                <w:b/>
                <w:bCs/>
                <w:szCs w:val="21"/>
                <w:lang w:val="en-US" w:eastAsia="zh-CN"/>
              </w:rPr>
              <w:t>其二，于6至7月间，我们的人力资源系统成功上线，</w:t>
            </w:r>
            <w:r>
              <w:rPr>
                <w:rFonts w:hint="eastAsia" w:ascii="宋体" w:hAnsi="宋体"/>
                <w:szCs w:val="21"/>
                <w:lang w:val="en-US" w:eastAsia="zh-CN"/>
              </w:rPr>
              <w:t>包括招聘管理、薪</w:t>
            </w:r>
            <w:bookmarkStart w:id="0" w:name="_GoBack"/>
            <w:bookmarkEnd w:id="0"/>
            <w:r>
              <w:rPr>
                <w:rFonts w:hint="eastAsia" w:ascii="宋体" w:hAnsi="宋体"/>
                <w:szCs w:val="21"/>
                <w:lang w:val="en-US" w:eastAsia="zh-CN"/>
              </w:rPr>
              <w:t>酬管理、职称申报等15个核心模块,目前还有一个需求变更，由腾讯的微信考勤方式，变更为由人力资源系统直接考勤方式，目前正在调整阶段，当前98%的模块已通过使用部门验收。</w:t>
            </w:r>
            <w:r>
              <w:rPr>
                <w:rFonts w:hint="eastAsia" w:ascii="宋体" w:hAnsi="宋体"/>
                <w:b/>
                <w:bCs/>
                <w:szCs w:val="21"/>
                <w:lang w:val="en-US" w:eastAsia="zh-CN"/>
              </w:rPr>
              <w:t>三是，关于招标采购系统方面</w:t>
            </w:r>
            <w:r>
              <w:rPr>
                <w:rFonts w:hint="eastAsia" w:ascii="宋体" w:hAnsi="宋体"/>
                <w:szCs w:val="21"/>
                <w:lang w:val="en-US" w:eastAsia="zh-CN"/>
              </w:rPr>
              <w:t>，招标采购作为内控核心，关联多流程。信息化部已完成需求调研与方案讨论，获各科室一致通过。系统开发至部署阶段，但因采购模式将转“集中采购”，为确保适配，决定暂缓上线，待新需求明确后实施。</w:t>
            </w:r>
            <w:r>
              <w:rPr>
                <w:rFonts w:hint="eastAsia" w:ascii="宋体" w:hAnsi="宋体"/>
                <w:b/>
                <w:bCs/>
                <w:szCs w:val="21"/>
                <w:lang w:val="en-US" w:eastAsia="zh-CN"/>
              </w:rPr>
              <w:t>四是，医学装备全生命周期管理系统已全面投入运行和供应宝升级</w:t>
            </w:r>
            <w:r>
              <w:rPr>
                <w:rFonts w:hint="eastAsia" w:ascii="宋体" w:hAnsi="宋体"/>
                <w:szCs w:val="21"/>
                <w:lang w:val="en-US" w:eastAsia="zh-CN"/>
              </w:rPr>
              <w:t>。该系统重点监控贵重及急救设备，简化借调流程，实现应急设备智能化管理，含借出、归还及到期提醒。涵盖保养、维修管理，用户可便捷提交维修申请，系统跟踪进度。质控管理包括风险评估、保障统计及效益分析，全面监控设备故障率，确保医疗设备高效安全运行。</w:t>
            </w:r>
            <w:r>
              <w:rPr>
                <w:rFonts w:hint="eastAsia" w:ascii="宋体" w:hAnsi="宋体"/>
                <w:b/>
                <w:bCs/>
                <w:szCs w:val="21"/>
                <w:lang w:val="en-US" w:eastAsia="zh-CN"/>
              </w:rPr>
              <w:t>五是，5月份，天府院区成功上线了合理用药、在线审方及处方点评系</w:t>
            </w:r>
            <w:r>
              <w:rPr>
                <w:rFonts w:hint="eastAsia" w:ascii="宋体" w:hAnsi="宋体"/>
                <w:szCs w:val="21"/>
                <w:lang w:val="en-US" w:eastAsia="zh-CN"/>
              </w:rPr>
              <w:t>统。医生开具处方时，系统即时提供药品说明书、关键提醒及Mcdex查询，支持用药指导单自动生成与打印。医生可自查处方点评结果，检索不合理用药及审方结果。处方保存时自动审查，药师人工审方发现问题会提示医生，医生可修改或提交进一步审方，提升用药安全与合理性。</w:t>
            </w:r>
          </w:p>
          <w:p>
            <w:pPr>
              <w:spacing w:line="276" w:lineRule="exact"/>
              <w:ind w:firstLine="420" w:firstLineChars="200"/>
              <w:contextualSpacing/>
              <w:jc w:val="left"/>
              <w:rPr>
                <w:rFonts w:hint="eastAsia" w:ascii="宋体" w:hAnsi="宋体"/>
                <w:szCs w:val="21"/>
                <w:lang w:val="en-US" w:eastAsia="zh-CN"/>
              </w:rPr>
            </w:pPr>
            <w:r>
              <w:rPr>
                <w:rFonts w:hint="eastAsia" w:ascii="宋体" w:hAnsi="宋体"/>
                <w:szCs w:val="21"/>
                <w:lang w:val="en-US" w:eastAsia="zh-CN"/>
              </w:rPr>
              <w:t>（三）智慧服务方面与医保方面。信息化部广泛征求了各临床科室的意见，形成了详细的整改台账，并启动了整改工作。对于需要跨部门协作的任务，我们明确了任务分工，并提交了智慧服务小组办公室进行审议，确保各科室能够按照分工共同推进项目。目前，智慧服务工作正在有条不紊地持续改进中。</w:t>
            </w:r>
            <w:r>
              <w:rPr>
                <w:rFonts w:hint="eastAsia" w:ascii="宋体" w:hAnsi="宋体"/>
                <w:b/>
                <w:bCs/>
                <w:szCs w:val="21"/>
                <w:lang w:val="en-US" w:eastAsia="zh-CN"/>
              </w:rPr>
              <w:t>一是，微信端移动医保现已全面完成与医保端、微信端以及HIS端的系统对接与单元测试阶段。</w:t>
            </w:r>
            <w:r>
              <w:rPr>
                <w:rFonts w:hint="eastAsia" w:ascii="宋体" w:hAnsi="宋体"/>
                <w:szCs w:val="21"/>
                <w:lang w:val="en-US" w:eastAsia="zh-CN"/>
              </w:rPr>
              <w:t>当前，我们正着手于财务相关报表的制作工作，并同步推进整体集成测试。预计该系统将于12月顺利完成上线并投入使用。二</w:t>
            </w:r>
            <w:r>
              <w:rPr>
                <w:rFonts w:hint="eastAsia" w:ascii="宋体" w:hAnsi="宋体"/>
                <w:b/>
                <w:bCs/>
                <w:szCs w:val="21"/>
                <w:lang w:val="en-US" w:eastAsia="zh-CN"/>
              </w:rPr>
              <w:t>是，我们已成功接入省互联网医院总医院</w:t>
            </w:r>
            <w:r>
              <w:rPr>
                <w:rFonts w:hint="eastAsia" w:ascii="宋体" w:hAnsi="宋体"/>
                <w:szCs w:val="21"/>
                <w:lang w:val="en-US" w:eastAsia="zh-CN"/>
              </w:rPr>
              <w:t>，并积极协同管理部门推行互联网总医院义诊服务。三是，借助美康用药数据库，</w:t>
            </w:r>
            <w:r>
              <w:rPr>
                <w:rFonts w:hint="eastAsia" w:ascii="宋体" w:hAnsi="宋体"/>
                <w:b/>
                <w:bCs/>
                <w:szCs w:val="21"/>
                <w:lang w:val="en-US" w:eastAsia="zh-CN"/>
              </w:rPr>
              <w:t>患者提供了用药指南推送服务和增设了“失物招领”便捷服务</w:t>
            </w:r>
            <w:r>
              <w:rPr>
                <w:rFonts w:hint="eastAsia" w:ascii="宋体" w:hAnsi="宋体"/>
                <w:szCs w:val="21"/>
                <w:lang w:val="en-US" w:eastAsia="zh-CN"/>
              </w:rPr>
              <w:t>。四是，针对体检及产前外送项目，由原来纸质发票由于不无报销，我们新增了</w:t>
            </w:r>
            <w:r>
              <w:rPr>
                <w:rFonts w:hint="eastAsia" w:ascii="宋体" w:hAnsi="宋体"/>
                <w:b/>
                <w:bCs/>
                <w:szCs w:val="21"/>
                <w:lang w:val="en-US" w:eastAsia="zh-CN"/>
              </w:rPr>
              <w:t>医疗电子发票的在线开具功能</w:t>
            </w:r>
            <w:r>
              <w:rPr>
                <w:rFonts w:hint="eastAsia" w:ascii="宋体" w:hAnsi="宋体"/>
                <w:szCs w:val="21"/>
                <w:lang w:val="en-US" w:eastAsia="zh-CN"/>
              </w:rPr>
              <w:t>，进一步提升服务便捷性。五是，</w:t>
            </w:r>
            <w:r>
              <w:rPr>
                <w:rFonts w:hint="eastAsia" w:ascii="宋体" w:hAnsi="宋体"/>
                <w:b/>
                <w:bCs/>
                <w:szCs w:val="21"/>
                <w:lang w:val="en-US" w:eastAsia="zh-CN"/>
              </w:rPr>
              <w:t>生育保险调整</w:t>
            </w:r>
            <w:r>
              <w:rPr>
                <w:rFonts w:hint="eastAsia" w:ascii="宋体" w:hAnsi="宋体"/>
                <w:szCs w:val="21"/>
                <w:lang w:val="en-US" w:eastAsia="zh-CN"/>
              </w:rPr>
              <w:t>：根据政策要求，更新了生育报销形式，提高生育报销比例，对成都市生育医保功能进行优化。六是，</w:t>
            </w:r>
            <w:r>
              <w:rPr>
                <w:rFonts w:hint="eastAsia" w:ascii="宋体" w:hAnsi="宋体"/>
                <w:b/>
                <w:bCs/>
                <w:szCs w:val="21"/>
                <w:lang w:val="en-US" w:eastAsia="zh-CN"/>
              </w:rPr>
              <w:t>医保结算清单质控：</w:t>
            </w:r>
            <w:r>
              <w:rPr>
                <w:rFonts w:hint="eastAsia" w:ascii="宋体" w:hAnsi="宋体"/>
                <w:szCs w:val="21"/>
                <w:lang w:val="en-US" w:eastAsia="zh-CN"/>
              </w:rPr>
              <w:t>根据科室提交修改申请，修改了医保结算清单的填报信息，并加强了13条质控标准的执行。七是，根据医保结算要求需要</w:t>
            </w:r>
            <w:r>
              <w:rPr>
                <w:rFonts w:hint="eastAsia" w:ascii="宋体" w:hAnsi="宋体"/>
                <w:b/>
                <w:bCs/>
                <w:szCs w:val="21"/>
                <w:lang w:val="en-US" w:eastAsia="zh-CN"/>
              </w:rPr>
              <w:t>婴儿与母亲分开结算，信息化部调整了分账单结算功能</w:t>
            </w:r>
            <w:r>
              <w:rPr>
                <w:rFonts w:hint="eastAsia" w:ascii="宋体" w:hAnsi="宋体"/>
                <w:szCs w:val="21"/>
                <w:lang w:val="en-US" w:eastAsia="zh-CN"/>
              </w:rPr>
              <w:t>，针对婴儿电子发票进行处理，对于分开结算后医嘱费用查询金额与实际账单金额不一致的情况进行跟踪处理。</w:t>
            </w:r>
            <w:r>
              <w:rPr>
                <w:rFonts w:hint="eastAsia" w:ascii="宋体" w:hAnsi="宋体"/>
                <w:b/>
                <w:bCs/>
                <w:szCs w:val="21"/>
                <w:lang w:val="en-US" w:eastAsia="zh-CN"/>
              </w:rPr>
              <w:t>八是，针对药品追溯码的要求深入分析上传要求与机制</w:t>
            </w:r>
            <w:r>
              <w:rPr>
                <w:rFonts w:hint="eastAsia" w:ascii="宋体" w:hAnsi="宋体"/>
                <w:szCs w:val="21"/>
                <w:lang w:val="en-US" w:eastAsia="zh-CN"/>
              </w:rPr>
              <w:t>，重点对药品追溯功能进行了优化，截至11月底，追溯率已达85%，在省管医院中排名第一。九是，根据省市医保事务中心启用6条门诊智能审核规则要求，</w:t>
            </w:r>
            <w:r>
              <w:rPr>
                <w:rFonts w:hint="eastAsia" w:ascii="宋体" w:hAnsi="宋体"/>
                <w:b/>
                <w:bCs/>
                <w:szCs w:val="21"/>
                <w:lang w:val="en-US" w:eastAsia="zh-CN"/>
              </w:rPr>
              <w:t>为确保参保人门诊费用报销合规性，在门诊结算界面增加医保审核功能</w:t>
            </w:r>
            <w:r>
              <w:rPr>
                <w:rFonts w:hint="eastAsia" w:ascii="宋体" w:hAnsi="宋体"/>
                <w:szCs w:val="21"/>
                <w:lang w:val="en-US" w:eastAsia="zh-CN"/>
              </w:rPr>
              <w:t>，便于收费窗口对限制性药品及诊疗项目进行医保审核。十是，按省市医保事务中心要求，</w:t>
            </w:r>
            <w:r>
              <w:rPr>
                <w:rFonts w:hint="eastAsia" w:ascii="宋体" w:hAnsi="宋体"/>
                <w:b/>
                <w:bCs/>
                <w:szCs w:val="21"/>
                <w:lang w:val="en-US" w:eastAsia="zh-CN"/>
              </w:rPr>
              <w:t>增加了医保电子钱包和生殖费用纳入医保支付的改造。十一，配合医保飞行检查</w:t>
            </w:r>
            <w:r>
              <w:rPr>
                <w:rFonts w:hint="eastAsia" w:ascii="宋体" w:hAnsi="宋体"/>
                <w:szCs w:val="21"/>
                <w:lang w:val="en-US" w:eastAsia="zh-CN"/>
              </w:rPr>
              <w:t>。</w:t>
            </w:r>
          </w:p>
          <w:p>
            <w:pPr>
              <w:spacing w:line="276" w:lineRule="exact"/>
              <w:ind w:firstLine="422" w:firstLineChars="200"/>
              <w:contextualSpacing/>
              <w:jc w:val="left"/>
              <w:rPr>
                <w:rFonts w:hint="eastAsia" w:ascii="宋体" w:hAnsi="宋体"/>
                <w:b/>
                <w:bCs/>
                <w:szCs w:val="21"/>
                <w:lang w:val="en-US" w:eastAsia="zh-CN"/>
              </w:rPr>
            </w:pPr>
            <w:r>
              <w:rPr>
                <w:rFonts w:hint="eastAsia" w:ascii="宋体" w:hAnsi="宋体"/>
                <w:b/>
                <w:bCs/>
                <w:szCs w:val="21"/>
                <w:lang w:val="en-US" w:eastAsia="zh-CN"/>
              </w:rPr>
              <w:t>三、业务需求项目情况</w:t>
            </w:r>
          </w:p>
          <w:p>
            <w:pPr>
              <w:spacing w:line="276" w:lineRule="exact"/>
              <w:ind w:firstLine="422" w:firstLineChars="200"/>
              <w:contextualSpacing/>
              <w:jc w:val="left"/>
              <w:rPr>
                <w:rFonts w:hint="eastAsia" w:ascii="宋体" w:hAnsi="宋体"/>
                <w:szCs w:val="21"/>
                <w:lang w:val="en-US" w:eastAsia="zh-CN"/>
              </w:rPr>
            </w:pPr>
            <w:r>
              <w:rPr>
                <w:rFonts w:hint="eastAsia" w:ascii="宋体" w:hAnsi="宋体"/>
                <w:b/>
                <w:bCs/>
                <w:szCs w:val="21"/>
                <w:lang w:val="en-US" w:eastAsia="zh-CN"/>
              </w:rPr>
              <w:t>一是，根据一站式服务中心要求，我们协同运营发展部与医务部，全面优化了“预入院”、“床管中心”、“日间手术”及“预出院”的整体流程。</w:t>
            </w:r>
            <w:r>
              <w:rPr>
                <w:rFonts w:hint="eastAsia" w:ascii="宋体" w:hAnsi="宋体"/>
                <w:szCs w:val="21"/>
                <w:lang w:val="en-US" w:eastAsia="zh-CN"/>
              </w:rPr>
              <w:t>主要有：住院证录入界面新增了拟日间手术申请功能，便于提前规划手术安排。门诊手术列表新增了日间手术的确认与取消选项，增强了手术管理的灵活性。住院手术列表不仅展示了病人的病区信息，还特别为日间手术病人设置了醒目的底色标识，便于快速识别。此外，一站式服务中心的床位管理界面也得到了显著优化：病区床位管理界面增加了病区检索功能，极大地便利了科室查找合适床位的过程。实现了院区病区的过滤功能，确保本部仅能查看本部所有病区的床位情况，天府则仅查看天府的病区床位，提升了管理的精准性。针对预出院管理，我们根据管理部门的要求进行了如下调整：医生病人列表、病区床位图及病区床位管理界面均新增了今日出院和明日出院的标志，使医生与护士能够清晰掌握患者的出院安排。在病区床位管理界面上，特别标注了医生的预出院时间，以便护士提前进行费用核定，确保患者顺利出院。</w:t>
            </w:r>
            <w:r>
              <w:rPr>
                <w:rFonts w:hint="eastAsia" w:ascii="宋体" w:hAnsi="宋体"/>
                <w:b/>
                <w:bCs/>
                <w:szCs w:val="21"/>
                <w:lang w:val="en-US" w:eastAsia="zh-CN"/>
              </w:rPr>
              <w:t>二是，积极推进放射图像ICPACS系统的升级工作</w:t>
            </w:r>
            <w:r>
              <w:rPr>
                <w:rFonts w:hint="eastAsia" w:ascii="宋体" w:hAnsi="宋体"/>
                <w:szCs w:val="21"/>
                <w:lang w:val="en-US" w:eastAsia="zh-CN"/>
              </w:rPr>
              <w:t>，以提升系统性能与功能，满足医疗业务发展的需求。</w:t>
            </w:r>
            <w:r>
              <w:rPr>
                <w:rFonts w:hint="eastAsia" w:ascii="宋体" w:hAnsi="宋体"/>
                <w:b/>
                <w:bCs/>
                <w:szCs w:val="21"/>
                <w:lang w:val="en-US" w:eastAsia="zh-CN"/>
              </w:rPr>
              <w:t>三是，针对标本运送环节，通过PDA设备的优化应用，加强标本从采集到运送的全链条管理</w:t>
            </w:r>
            <w:r>
              <w:rPr>
                <w:rFonts w:hint="eastAsia" w:ascii="宋体" w:hAnsi="宋体"/>
                <w:szCs w:val="21"/>
                <w:lang w:val="en-US" w:eastAsia="zh-CN"/>
              </w:rPr>
              <w:t>，特别是标本转运与护士采血流程的改进，以提升医疗服务效率与质量。四是，在体检方面，</w:t>
            </w:r>
            <w:r>
              <w:rPr>
                <w:rFonts w:hint="eastAsia" w:ascii="宋体" w:hAnsi="宋体"/>
                <w:b/>
                <w:bCs/>
                <w:szCs w:val="21"/>
                <w:lang w:val="en-US" w:eastAsia="zh-CN"/>
              </w:rPr>
              <w:t>对接了体检系统与互联网医院，还建设了体检公众号平台</w:t>
            </w:r>
            <w:r>
              <w:rPr>
                <w:rFonts w:hint="eastAsia" w:ascii="宋体" w:hAnsi="宋体"/>
                <w:szCs w:val="21"/>
                <w:lang w:val="en-US" w:eastAsia="zh-CN"/>
              </w:rPr>
              <w:t>，为患者提供更加便捷、高效的体检服务体验。六是，在血糖管理方面，推进了</w:t>
            </w:r>
            <w:r>
              <w:rPr>
                <w:rFonts w:hint="eastAsia" w:ascii="宋体" w:hAnsi="宋体"/>
                <w:b/>
                <w:bCs/>
                <w:szCs w:val="21"/>
                <w:lang w:val="en-US" w:eastAsia="zh-CN"/>
              </w:rPr>
              <w:t>血糖POCT系统的建设与应用</w:t>
            </w:r>
            <w:r>
              <w:rPr>
                <w:rFonts w:hint="eastAsia" w:ascii="宋体" w:hAnsi="宋体"/>
                <w:szCs w:val="21"/>
                <w:lang w:val="en-US" w:eastAsia="zh-CN"/>
              </w:rPr>
              <w:t>，实现血糖规范化的快速、准确检测。七是，为拓展中医科服务渠道，我们在</w:t>
            </w:r>
            <w:r>
              <w:rPr>
                <w:rFonts w:hint="eastAsia" w:ascii="宋体" w:hAnsi="宋体"/>
                <w:b/>
                <w:bCs/>
                <w:szCs w:val="21"/>
                <w:lang w:val="en-US" w:eastAsia="zh-CN"/>
              </w:rPr>
              <w:t>微信公众号增加了售卖中医科特有的三九/三伏贴服务包</w:t>
            </w:r>
            <w:r>
              <w:rPr>
                <w:rFonts w:hint="eastAsia" w:ascii="宋体" w:hAnsi="宋体"/>
                <w:szCs w:val="21"/>
                <w:lang w:val="en-US" w:eastAsia="zh-CN"/>
              </w:rPr>
              <w:t>，满足患者多样化的健康需求。八是，为满足天府院区智能采血系统的数据交互需求，LIS系统对接了智能采血接口，进一步提升采血工作的自动化与智能化水平。</w:t>
            </w:r>
            <w:r>
              <w:rPr>
                <w:rFonts w:hint="eastAsia" w:ascii="宋体" w:hAnsi="宋体"/>
                <w:b/>
                <w:bCs/>
                <w:szCs w:val="21"/>
                <w:lang w:val="en-US" w:eastAsia="zh-CN"/>
              </w:rPr>
              <w:t>九是，提高稳定性，门头屏更换模式</w:t>
            </w:r>
            <w:r>
              <w:rPr>
                <w:rFonts w:hint="eastAsia" w:ascii="宋体" w:hAnsi="宋体"/>
                <w:szCs w:val="21"/>
                <w:lang w:val="en-US" w:eastAsia="zh-CN"/>
              </w:rPr>
              <w:t>。十是，根据需求对</w:t>
            </w:r>
            <w:r>
              <w:rPr>
                <w:rFonts w:hint="eastAsia" w:ascii="宋体" w:hAnsi="宋体"/>
                <w:b/>
                <w:bCs/>
                <w:szCs w:val="21"/>
                <w:lang w:val="en-US" w:eastAsia="zh-CN"/>
              </w:rPr>
              <w:t>数据报表调整</w:t>
            </w:r>
            <w:r>
              <w:rPr>
                <w:rFonts w:hint="eastAsia" w:ascii="宋体" w:hAnsi="宋体"/>
                <w:szCs w:val="21"/>
                <w:lang w:val="en-US" w:eastAsia="zh-CN"/>
              </w:rPr>
              <w:t>：特殊药品、库存消耗、门诊/住院医保人次统计、住院医保费用报表新取数规则修改、三个半天门诊绩效报表、单个品种报表修改、次均费用调整与制作等。</w:t>
            </w:r>
          </w:p>
          <w:p>
            <w:pPr>
              <w:spacing w:line="276" w:lineRule="exact"/>
              <w:ind w:firstLine="422" w:firstLineChars="200"/>
              <w:contextualSpacing/>
              <w:jc w:val="left"/>
              <w:rPr>
                <w:rFonts w:hint="eastAsia" w:ascii="宋体" w:hAnsi="宋体"/>
                <w:b/>
                <w:bCs/>
                <w:szCs w:val="21"/>
                <w:lang w:val="en-US" w:eastAsia="zh-CN"/>
              </w:rPr>
            </w:pPr>
            <w:r>
              <w:rPr>
                <w:rFonts w:hint="eastAsia" w:ascii="宋体" w:hAnsi="宋体"/>
                <w:b/>
                <w:bCs/>
                <w:szCs w:val="21"/>
                <w:lang w:val="en-US" w:eastAsia="zh-CN"/>
              </w:rPr>
              <w:t>四、重要支撑性项目情况</w:t>
            </w:r>
          </w:p>
          <w:p>
            <w:pPr>
              <w:spacing w:line="276" w:lineRule="exact"/>
              <w:ind w:firstLine="422" w:firstLineChars="200"/>
              <w:contextualSpacing/>
              <w:jc w:val="left"/>
              <w:rPr>
                <w:rFonts w:hint="eastAsia" w:ascii="宋体" w:hAnsi="宋体"/>
                <w:b/>
                <w:bCs/>
                <w:szCs w:val="21"/>
                <w:lang w:val="en-US" w:eastAsia="zh-CN"/>
              </w:rPr>
            </w:pPr>
            <w:r>
              <w:rPr>
                <w:rFonts w:hint="eastAsia" w:ascii="宋体" w:hAnsi="宋体"/>
                <w:b/>
                <w:bCs/>
                <w:szCs w:val="21"/>
                <w:lang w:val="en-US" w:eastAsia="zh-CN"/>
              </w:rPr>
              <w:t>一是，截至11月底，无纸化病案项目已除产科还有需求改造以外，在晋阳院区所有住院科室均实现了住院病案全流程的无纸化归档</w:t>
            </w:r>
            <w:r>
              <w:rPr>
                <w:rFonts w:hint="eastAsia" w:ascii="宋体" w:hAnsi="宋体"/>
                <w:szCs w:val="21"/>
                <w:lang w:val="en-US" w:eastAsia="zh-CN"/>
              </w:rPr>
              <w:t>，操作顺畅无阻。这一改变不仅减少了纸质病案的管理成本，还降低了因纸质病案丢失、损坏或信息填写错误等风险，进一步提升了医疗质量和安全性。</w:t>
            </w:r>
            <w:r>
              <w:rPr>
                <w:rFonts w:hint="eastAsia" w:ascii="宋体" w:hAnsi="宋体"/>
                <w:b/>
                <w:bCs/>
                <w:szCs w:val="21"/>
                <w:lang w:val="en-US" w:eastAsia="zh-CN"/>
              </w:rPr>
              <w:t>二是，队列研究项目已成功构建了三个研究队列，并通过科教部门验收并进行科室培训</w:t>
            </w:r>
            <w:r>
              <w:rPr>
                <w:rFonts w:hint="eastAsia" w:ascii="宋体" w:hAnsi="宋体"/>
                <w:szCs w:val="21"/>
                <w:lang w:val="en-US" w:eastAsia="zh-CN"/>
              </w:rPr>
              <w:t>，该系统正为医学研究提供坚实的数据支撑。此外，晋阳建行老自助机系统的更新换代，提升了患者的就医体验。</w:t>
            </w:r>
            <w:r>
              <w:rPr>
                <w:rFonts w:hint="eastAsia" w:ascii="宋体" w:hAnsi="宋体"/>
                <w:b/>
                <w:bCs/>
                <w:szCs w:val="21"/>
                <w:lang w:val="en-US" w:eastAsia="zh-CN"/>
              </w:rPr>
              <w:t>三是，病历质控方面，我们积极响应管理部门要求，对病历监控、质控流程进行了全面优化，细化了质控标准，并新增了“环节质控缺陷”、“科室终末质控缺陷”等实时提醒功能</w:t>
            </w:r>
            <w:r>
              <w:rPr>
                <w:rFonts w:hint="eastAsia" w:ascii="宋体" w:hAnsi="宋体"/>
                <w:szCs w:val="21"/>
                <w:lang w:val="en-US" w:eastAsia="zh-CN"/>
              </w:rPr>
              <w:t>。上线超时病历若8小时未完成补录，环节质控发现的问题8小时内未反馈整改情况的，系统自动锁定该病历书写操作权限，必须经科室主任解锁后才能执行后续操作功能。</w:t>
            </w:r>
            <w:r>
              <w:rPr>
                <w:rFonts w:hint="eastAsia" w:ascii="宋体" w:hAnsi="宋体"/>
                <w:b/>
                <w:bCs/>
                <w:szCs w:val="21"/>
                <w:lang w:val="en-US" w:eastAsia="zh-CN"/>
              </w:rPr>
              <w:t>四是，在检验科，配合完成了ISO认证所需的功能改造。五是，检查检验互认项目也在稳步推进中，主题数据中心已按要求上传11张主表数据，并实现了检查检验报告、影像文件的上传功能</w:t>
            </w:r>
            <w:r>
              <w:rPr>
                <w:rFonts w:hint="eastAsia" w:ascii="宋体" w:hAnsi="宋体"/>
                <w:szCs w:val="21"/>
                <w:lang w:val="en-US" w:eastAsia="zh-CN"/>
              </w:rPr>
              <w:t>，目前已进入集成测试阶段，预估12月完成上线使用。</w:t>
            </w:r>
            <w:r>
              <w:rPr>
                <w:rFonts w:hint="eastAsia" w:ascii="宋体" w:hAnsi="宋体"/>
                <w:b/>
                <w:bCs/>
                <w:szCs w:val="21"/>
                <w:lang w:val="en-US" w:eastAsia="zh-CN"/>
              </w:rPr>
              <w:t>六是，完成了HRP系统的批次价格管理功能</w:t>
            </w:r>
            <w:r>
              <w:rPr>
                <w:rFonts w:hint="eastAsia" w:ascii="宋体" w:hAnsi="宋体"/>
                <w:szCs w:val="21"/>
                <w:lang w:val="en-US" w:eastAsia="zh-CN"/>
              </w:rPr>
              <w:t>，我们已根据临床与管理部门的需求进行了深入调研与需求分析，已根据管理部门制的规则与要求，实现了HIS与HRP耗材的对接，达到了可收费耗材的管理要求。</w:t>
            </w:r>
            <w:r>
              <w:rPr>
                <w:rFonts w:hint="eastAsia" w:ascii="宋体" w:hAnsi="宋体"/>
                <w:b/>
                <w:bCs/>
                <w:szCs w:val="21"/>
                <w:lang w:val="en-US" w:eastAsia="zh-CN"/>
              </w:rPr>
              <w:t>七是，完成了电子数据药物警戒（EPV）系统的对接工作。</w:t>
            </w:r>
            <w:r>
              <w:rPr>
                <w:rFonts w:hint="eastAsia" w:ascii="宋体" w:hAnsi="宋体"/>
                <w:szCs w:val="21"/>
                <w:lang w:val="en-US" w:eastAsia="zh-CN"/>
              </w:rPr>
              <w:t>积极响应了管理部的要求，旨在强化院内患者药物警戒的主动监测能力，并为未来参与或组织由ARO（学术研究机构）和CRO（合同研究组织）发起的各类用药课题研究奠定坚实基础。</w:t>
            </w:r>
            <w:r>
              <w:rPr>
                <w:rFonts w:hint="eastAsia" w:ascii="宋体" w:hAnsi="宋体"/>
                <w:b/>
                <w:bCs/>
                <w:szCs w:val="21"/>
                <w:lang w:val="en-US" w:eastAsia="zh-CN"/>
              </w:rPr>
              <w:t>八是，完成天府二期智慧病房新增接口开发。</w:t>
            </w:r>
          </w:p>
          <w:p>
            <w:pPr>
              <w:spacing w:line="276" w:lineRule="exact"/>
              <w:ind w:firstLine="422" w:firstLineChars="200"/>
              <w:contextualSpacing/>
              <w:jc w:val="left"/>
              <w:rPr>
                <w:rFonts w:hint="eastAsia" w:ascii="宋体" w:hAnsi="宋体"/>
                <w:szCs w:val="21"/>
                <w:lang w:val="en-US" w:eastAsia="zh-CN"/>
              </w:rPr>
            </w:pPr>
            <w:r>
              <w:rPr>
                <w:rFonts w:hint="eastAsia" w:ascii="宋体" w:hAnsi="宋体"/>
                <w:b/>
                <w:bCs/>
                <w:szCs w:val="21"/>
                <w:lang w:val="en-US" w:eastAsia="zh-CN"/>
              </w:rPr>
              <w:t>五、医技业务和医辅业务</w:t>
            </w:r>
            <w:r>
              <w:rPr>
                <w:rFonts w:hint="eastAsia" w:ascii="宋体" w:hAnsi="宋体"/>
                <w:b/>
                <w:bCs/>
                <w:szCs w:val="21"/>
                <w:lang w:val="en-US" w:eastAsia="zh-CN"/>
              </w:rPr>
              <w:t>相关需求。一是，检验科微生物补费与提醒功能改造</w:t>
            </w:r>
            <w:r>
              <w:rPr>
                <w:rFonts w:hint="eastAsia" w:ascii="宋体" w:hAnsi="宋体"/>
                <w:szCs w:val="21"/>
                <w:lang w:val="en-US" w:eastAsia="zh-CN"/>
              </w:rPr>
              <w:t>：补费72小时限制及提醒，改造检验科微生物补费系统，并增加自动提醒功能，确保费用及时补缴。二是，对接迪瑞FUS3000plus仪器、迪瑞MUS3600等４台设备，</w:t>
            </w:r>
            <w:r>
              <w:rPr>
                <w:rFonts w:hint="eastAsia" w:ascii="宋体" w:hAnsi="宋体"/>
                <w:b/>
                <w:bCs/>
                <w:szCs w:val="21"/>
                <w:lang w:val="en-US" w:eastAsia="zh-CN"/>
              </w:rPr>
              <w:t>优化检验科质控图数据传输功能</w:t>
            </w:r>
            <w:r>
              <w:rPr>
                <w:rFonts w:hint="eastAsia" w:ascii="宋体" w:hAnsi="宋体"/>
                <w:szCs w:val="21"/>
                <w:lang w:val="en-US" w:eastAsia="zh-CN"/>
              </w:rPr>
              <w:t>，实现多点同步传输。</w:t>
            </w:r>
            <w:r>
              <w:rPr>
                <w:rFonts w:hint="eastAsia" w:ascii="宋体" w:hAnsi="宋体"/>
                <w:b/>
                <w:bCs/>
                <w:szCs w:val="21"/>
                <w:lang w:val="en-US" w:eastAsia="zh-CN"/>
              </w:rPr>
              <w:t>三是，金域外送检验结果回传</w:t>
            </w:r>
            <w:r>
              <w:rPr>
                <w:rFonts w:hint="eastAsia" w:ascii="宋体" w:hAnsi="宋体"/>
                <w:szCs w:val="21"/>
                <w:lang w:val="en-US" w:eastAsia="zh-CN"/>
              </w:rPr>
              <w:t>：确保金域外送检验结果能够及时、准确地回传至本院系统，便于医生查阅。</w:t>
            </w:r>
            <w:r>
              <w:rPr>
                <w:rFonts w:hint="eastAsia" w:ascii="宋体" w:hAnsi="宋体"/>
                <w:b/>
                <w:bCs/>
                <w:szCs w:val="21"/>
                <w:lang w:val="en-US" w:eastAsia="zh-CN"/>
              </w:rPr>
              <w:t>四是，扫描多张外院申请单问题跟踪处理</w:t>
            </w:r>
            <w:r>
              <w:rPr>
                <w:rFonts w:hint="eastAsia" w:ascii="宋体" w:hAnsi="宋体"/>
                <w:szCs w:val="21"/>
                <w:lang w:val="en-US" w:eastAsia="zh-CN"/>
              </w:rPr>
              <w:t>：针对扫描多张申请单时出现的异常问题，进行持续跟踪并尽快处理。</w:t>
            </w:r>
            <w:r>
              <w:rPr>
                <w:rFonts w:hint="eastAsia" w:ascii="宋体" w:hAnsi="宋体"/>
                <w:b/>
                <w:bCs/>
                <w:szCs w:val="21"/>
                <w:lang w:val="en-US" w:eastAsia="zh-CN"/>
              </w:rPr>
              <w:t>五是，心电签到机部署</w:t>
            </w:r>
            <w:r>
              <w:rPr>
                <w:rFonts w:hint="eastAsia" w:ascii="宋体" w:hAnsi="宋体"/>
                <w:szCs w:val="21"/>
                <w:lang w:val="en-US" w:eastAsia="zh-CN"/>
              </w:rPr>
              <w:t>：在心电检查区域部署签到机，实现患者自助签到功能，优化就诊流程，等需求。</w:t>
            </w:r>
            <w:r>
              <w:rPr>
                <w:rFonts w:hint="eastAsia" w:ascii="宋体" w:hAnsi="宋体"/>
                <w:b/>
                <w:bCs/>
                <w:szCs w:val="21"/>
                <w:lang w:val="en-US" w:eastAsia="zh-CN"/>
              </w:rPr>
              <w:t>六是，免费药品发送流程的优化</w:t>
            </w:r>
            <w:r>
              <w:rPr>
                <w:rFonts w:hint="eastAsia" w:ascii="宋体" w:hAnsi="宋体"/>
                <w:szCs w:val="21"/>
                <w:lang w:val="en-US" w:eastAsia="zh-CN"/>
              </w:rPr>
              <w:t>，当前系统不支持0费用药品的发放与库存管理，需进行系统性改造，以确保药品管理的全面性与准确性。</w:t>
            </w:r>
            <w:r>
              <w:rPr>
                <w:rFonts w:hint="eastAsia" w:ascii="宋体" w:hAnsi="宋体"/>
                <w:b/>
                <w:bCs/>
                <w:szCs w:val="21"/>
                <w:lang w:val="en-US" w:eastAsia="zh-CN"/>
              </w:rPr>
              <w:t>七是，针对药械采购平台出现的上传订单报错问题</w:t>
            </w:r>
            <w:r>
              <w:rPr>
                <w:rFonts w:hint="eastAsia" w:ascii="宋体" w:hAnsi="宋体"/>
                <w:szCs w:val="21"/>
                <w:lang w:val="en-US" w:eastAsia="zh-CN"/>
              </w:rPr>
              <w:t>，需紧急排查并解决，避免影响医疗物资的正常供应。</w:t>
            </w:r>
            <w:r>
              <w:rPr>
                <w:rFonts w:hint="eastAsia" w:ascii="宋体" w:hAnsi="宋体"/>
                <w:b/>
                <w:bCs/>
                <w:szCs w:val="21"/>
                <w:lang w:val="en-US" w:eastAsia="zh-CN"/>
              </w:rPr>
              <w:t>八是，药库盘点环节中存在实盘数据被操作为0的情况</w:t>
            </w:r>
            <w:r>
              <w:rPr>
                <w:rFonts w:hint="eastAsia" w:ascii="宋体" w:hAnsi="宋体"/>
                <w:szCs w:val="21"/>
                <w:lang w:val="en-US" w:eastAsia="zh-CN"/>
              </w:rPr>
              <w:t>，进行调整保障库存数据的真实性与可靠性。四是，</w:t>
            </w:r>
            <w:r>
              <w:rPr>
                <w:rFonts w:hint="eastAsia" w:ascii="宋体" w:hAnsi="宋体"/>
                <w:b/>
                <w:bCs/>
                <w:szCs w:val="21"/>
                <w:lang w:val="en-US" w:eastAsia="zh-CN"/>
              </w:rPr>
              <w:t>针对消毒包及手术包“标签生成”功能</w:t>
            </w:r>
            <w:r>
              <w:rPr>
                <w:rFonts w:hint="eastAsia" w:ascii="宋体" w:hAnsi="宋体"/>
                <w:szCs w:val="21"/>
                <w:lang w:val="en-US" w:eastAsia="zh-CN"/>
              </w:rPr>
              <w:t>的需要重复生成问题，需增加逻辑判断与提示机制，</w:t>
            </w:r>
            <w:r>
              <w:rPr>
                <w:rFonts w:hint="eastAsia" w:ascii="宋体" w:hAnsi="宋体"/>
                <w:b/>
                <w:bCs/>
                <w:szCs w:val="21"/>
                <w:lang w:val="en-US" w:eastAsia="zh-CN"/>
              </w:rPr>
              <w:t>九是，外国人永久居留证全流程就医改</w:t>
            </w:r>
            <w:r>
              <w:rPr>
                <w:rFonts w:hint="eastAsia" w:ascii="宋体" w:hAnsi="宋体"/>
                <w:szCs w:val="21"/>
                <w:lang w:val="en-US" w:eastAsia="zh-CN"/>
              </w:rPr>
              <w:t>造，等需求。</w:t>
            </w:r>
          </w:p>
          <w:p>
            <w:pPr>
              <w:spacing w:line="276" w:lineRule="exact"/>
              <w:ind w:firstLine="422" w:firstLineChars="200"/>
              <w:contextualSpacing/>
              <w:jc w:val="left"/>
              <w:rPr>
                <w:rFonts w:hint="eastAsia" w:ascii="宋体" w:hAnsi="宋体"/>
                <w:b/>
                <w:bCs/>
                <w:szCs w:val="21"/>
                <w:lang w:val="en-US" w:eastAsia="zh-CN"/>
              </w:rPr>
            </w:pPr>
            <w:r>
              <w:rPr>
                <w:rFonts w:hint="eastAsia" w:ascii="宋体" w:hAnsi="宋体"/>
                <w:b/>
                <w:bCs/>
                <w:szCs w:val="21"/>
                <w:lang w:val="en-US" w:eastAsia="zh-CN"/>
              </w:rPr>
              <w:t>六、日常工作与制度建设</w:t>
            </w:r>
          </w:p>
          <w:p>
            <w:pPr>
              <w:spacing w:line="276" w:lineRule="exact"/>
              <w:ind w:firstLine="420" w:firstLineChars="200"/>
              <w:contextualSpacing/>
              <w:jc w:val="left"/>
              <w:rPr>
                <w:rFonts w:hint="eastAsia" w:ascii="宋体" w:hAnsi="宋体"/>
                <w:b/>
                <w:bCs/>
                <w:szCs w:val="21"/>
                <w:lang w:val="en-US" w:eastAsia="zh-CN"/>
              </w:rPr>
            </w:pPr>
            <w:r>
              <w:rPr>
                <w:rFonts w:hint="eastAsia" w:ascii="宋体" w:hAnsi="宋体"/>
                <w:szCs w:val="21"/>
                <w:lang w:val="en-US" w:eastAsia="zh-CN"/>
              </w:rPr>
              <w:t>在制度层面，</w:t>
            </w:r>
            <w:r>
              <w:rPr>
                <w:rFonts w:hint="eastAsia" w:ascii="宋体" w:hAnsi="宋体"/>
                <w:b/>
                <w:bCs/>
                <w:szCs w:val="21"/>
                <w:lang w:val="en-US" w:eastAsia="zh-CN"/>
              </w:rPr>
              <w:t>修订了《信息系统故障应急预案》</w:t>
            </w:r>
            <w:r>
              <w:rPr>
                <w:rFonts w:hint="eastAsia" w:ascii="宋体" w:hAnsi="宋体"/>
                <w:szCs w:val="21"/>
                <w:lang w:val="en-US" w:eastAsia="zh-CN"/>
              </w:rPr>
              <w:t>以增强应对突发状况的能力，</w:t>
            </w:r>
            <w:r>
              <w:rPr>
                <w:rFonts w:hint="eastAsia" w:ascii="宋体" w:hAnsi="宋体"/>
                <w:b/>
                <w:bCs/>
                <w:szCs w:val="21"/>
                <w:lang w:val="en-US" w:eastAsia="zh-CN"/>
              </w:rPr>
              <w:t>新增《发价格管理信息化制度》</w:t>
            </w:r>
            <w:r>
              <w:rPr>
                <w:rFonts w:hint="eastAsia" w:ascii="宋体" w:hAnsi="宋体"/>
                <w:szCs w:val="21"/>
                <w:lang w:val="en-US" w:eastAsia="zh-CN"/>
              </w:rPr>
              <w:t>，以信息化手段优化价格管理流程。</w:t>
            </w:r>
            <w:r>
              <w:rPr>
                <w:rFonts w:hint="eastAsia" w:ascii="宋体" w:hAnsi="宋体"/>
                <w:b/>
                <w:bCs/>
                <w:szCs w:val="21"/>
                <w:lang w:val="en-US" w:eastAsia="zh-CN"/>
              </w:rPr>
              <w:t>在协调机制构建上，按照ITSS服务标准从人员、技术、资源、流程四个角度进行制定规范和要求</w:t>
            </w:r>
            <w:r>
              <w:rPr>
                <w:rFonts w:hint="eastAsia" w:ascii="宋体" w:hAnsi="宋体"/>
                <w:szCs w:val="21"/>
                <w:lang w:val="en-US" w:eastAsia="zh-CN"/>
              </w:rPr>
              <w:t>。为加速运维、需求与项目的响应与执行效率，我们系统性地建立了四大核心制度：晨会制度确保问题日清日结，快速响应并协调解决；周例会制度则聚焦于进展监控与问题解决方案的提出，促进跨部门协同；周交班制度通过深入分析每周问题的根源，预防问题复发，实现持续改进；周学习制度则致力于提升团队技能与问题解决能力，形成学习型组织文化。</w:t>
            </w:r>
            <w:r>
              <w:rPr>
                <w:rFonts w:hint="eastAsia" w:ascii="宋体" w:hAnsi="宋体"/>
                <w:b/>
                <w:bCs/>
                <w:szCs w:val="21"/>
                <w:lang w:val="en-US" w:eastAsia="zh-CN"/>
              </w:rPr>
              <w:t>此外，在安全检查方面</w:t>
            </w:r>
            <w:r>
              <w:rPr>
                <w:rFonts w:hint="eastAsia" w:ascii="宋体" w:hAnsi="宋体"/>
                <w:szCs w:val="21"/>
                <w:lang w:val="en-US" w:eastAsia="zh-CN"/>
              </w:rPr>
              <w:t>，我们构建了全方位、多层次的检查体系，包括日常巡检、月度安全评估以及重点节假日前的专项检查，确保信息系统安全无虞，为业务平稳运行保驾护航。</w:t>
            </w:r>
          </w:p>
          <w:p>
            <w:pPr>
              <w:spacing w:line="276" w:lineRule="exact"/>
              <w:ind w:firstLine="422" w:firstLineChars="200"/>
              <w:contextualSpacing/>
              <w:jc w:val="left"/>
              <w:rPr>
                <w:rFonts w:hint="eastAsia" w:ascii="宋体" w:hAnsi="宋体"/>
                <w:b/>
                <w:bCs/>
                <w:szCs w:val="21"/>
              </w:rPr>
            </w:pPr>
            <w:r>
              <w:rPr>
                <w:rFonts w:hint="eastAsia" w:ascii="宋体" w:hAnsi="宋体"/>
                <w:b/>
                <w:bCs/>
                <w:szCs w:val="21"/>
                <w:lang w:val="en-US" w:eastAsia="zh-CN"/>
              </w:rPr>
              <w:t>七</w:t>
            </w:r>
            <w:r>
              <w:rPr>
                <w:rFonts w:hint="eastAsia" w:ascii="宋体" w:hAnsi="宋体"/>
                <w:b/>
                <w:bCs/>
                <w:szCs w:val="21"/>
              </w:rPr>
              <w:t>、存在的问题</w:t>
            </w:r>
          </w:p>
          <w:p>
            <w:pPr>
              <w:ind w:firstLine="420"/>
              <w:rPr>
                <w:rFonts w:hint="eastAsia" w:ascii="宋体" w:hAnsi="宋体"/>
                <w:b/>
                <w:bCs/>
                <w:szCs w:val="21"/>
              </w:rPr>
            </w:pPr>
            <w:r>
              <w:rPr>
                <w:rFonts w:hint="eastAsia" w:ascii="宋体" w:hAnsi="宋体"/>
                <w:b/>
                <w:bCs/>
                <w:szCs w:val="21"/>
              </w:rPr>
              <w:t>业务与信息融合</w:t>
            </w:r>
            <w:r>
              <w:rPr>
                <w:rFonts w:hint="eastAsia" w:ascii="宋体" w:hAnsi="宋体"/>
                <w:b/>
                <w:bCs/>
                <w:szCs w:val="21"/>
                <w:lang w:val="en-US" w:eastAsia="zh-CN"/>
              </w:rPr>
              <w:t>还有待提</w:t>
            </w:r>
            <w:r>
              <w:rPr>
                <w:rFonts w:hint="default"/>
                <w:b/>
                <w:bCs/>
                <w:lang w:val="en-US" w:eastAsia="zh-CN"/>
              </w:rPr>
              <w:t>升</w:t>
            </w:r>
            <w:r>
              <w:rPr>
                <w:rFonts w:hint="eastAsia" w:ascii="宋体" w:hAnsi="宋体"/>
                <w:b/>
                <w:bCs/>
                <w:szCs w:val="21"/>
                <w:lang w:val="en-US" w:eastAsia="zh-CN"/>
              </w:rPr>
              <w:t>。</w:t>
            </w:r>
            <w:r>
              <w:rPr>
                <w:rFonts w:hint="eastAsia" w:ascii="宋体" w:hAnsi="宋体"/>
                <w:b w:val="0"/>
                <w:bCs w:val="0"/>
                <w:szCs w:val="21"/>
                <w:lang w:val="en-US" w:eastAsia="zh-CN"/>
              </w:rPr>
              <w:t>比如，</w:t>
            </w:r>
            <w:r>
              <w:rPr>
                <w:rFonts w:hint="default"/>
                <w:lang w:val="en-US" w:eastAsia="zh-CN"/>
              </w:rPr>
              <w:t>治疗系统应用局限性，应用范围显得较为狭窄，仅限于儿保科室；病案质控系统作为保障医疗质量的重要环节，也仅启用了简单的质控规则，而大部分规则仍处于未启用状态，应用的覆盖面和深度不足。业务驱动IT是信息技术发展的必然趋势，也是实现业务与信息深度融合的重要途径。然而，在当前的实践中，业务驱动IT的融合程度仍有待提升。</w:t>
            </w:r>
          </w:p>
          <w:p>
            <w:pPr>
              <w:spacing w:line="276" w:lineRule="exact"/>
              <w:ind w:firstLine="422" w:firstLineChars="200"/>
              <w:contextualSpacing/>
              <w:jc w:val="left"/>
              <w:rPr>
                <w:rFonts w:hint="eastAsia" w:ascii="宋体" w:hAnsi="宋体"/>
                <w:b/>
                <w:bCs/>
                <w:szCs w:val="21"/>
              </w:rPr>
            </w:pPr>
            <w:r>
              <w:rPr>
                <w:rFonts w:hint="eastAsia" w:ascii="宋体" w:hAnsi="宋体"/>
                <w:b/>
                <w:bCs/>
                <w:szCs w:val="21"/>
                <w:lang w:val="en-US" w:eastAsia="zh-CN"/>
              </w:rPr>
              <w:t>八</w:t>
            </w:r>
            <w:r>
              <w:rPr>
                <w:rFonts w:hint="eastAsia" w:ascii="宋体" w:hAnsi="宋体"/>
                <w:b/>
                <w:bCs/>
                <w:szCs w:val="21"/>
              </w:rPr>
              <w:t>、改进思路与计划</w:t>
            </w:r>
          </w:p>
          <w:p>
            <w:pPr>
              <w:spacing w:line="276" w:lineRule="exact"/>
              <w:ind w:firstLine="422" w:firstLineChars="200"/>
              <w:contextualSpacing/>
              <w:jc w:val="left"/>
              <w:rPr>
                <w:rFonts w:hint="eastAsia" w:ascii="宋体" w:hAnsi="宋体"/>
                <w:b/>
                <w:bCs/>
                <w:szCs w:val="21"/>
              </w:rPr>
            </w:pPr>
            <w:r>
              <w:rPr>
                <w:rFonts w:hint="eastAsia" w:ascii="宋体" w:hAnsi="宋体"/>
                <w:b/>
                <w:bCs/>
                <w:szCs w:val="21"/>
              </w:rPr>
              <w:t>（一）改进思路</w:t>
            </w:r>
          </w:p>
          <w:p>
            <w:pPr>
              <w:spacing w:line="276" w:lineRule="exact"/>
              <w:ind w:firstLine="422" w:firstLineChars="200"/>
              <w:contextualSpacing/>
              <w:jc w:val="left"/>
              <w:rPr>
                <w:rFonts w:hint="eastAsia" w:ascii="宋体" w:hAnsi="宋体"/>
                <w:b/>
                <w:bCs/>
                <w:szCs w:val="21"/>
              </w:rPr>
            </w:pPr>
            <w:r>
              <w:rPr>
                <w:rFonts w:hint="eastAsia" w:ascii="宋体" w:hAnsi="宋体"/>
                <w:b/>
                <w:bCs/>
                <w:szCs w:val="21"/>
              </w:rPr>
              <w:t>一是，紧抓电子病历测评的整改</w:t>
            </w:r>
            <w:r>
              <w:rPr>
                <w:rFonts w:hint="eastAsia" w:ascii="宋体" w:hAnsi="宋体"/>
                <w:b/>
                <w:bCs/>
                <w:szCs w:val="21"/>
                <w:lang w:val="en-US" w:eastAsia="zh-CN"/>
              </w:rPr>
              <w:t>时机</w:t>
            </w:r>
            <w:r>
              <w:rPr>
                <w:rFonts w:hint="eastAsia" w:ascii="宋体" w:hAnsi="宋体"/>
                <w:b w:val="0"/>
                <w:bCs w:val="0"/>
                <w:szCs w:val="21"/>
              </w:rPr>
              <w:t>，与管理部门紧密协作，</w:t>
            </w:r>
            <w:r>
              <w:rPr>
                <w:rFonts w:hint="eastAsia"/>
              </w:rPr>
              <w:t>从上到下，把关键的业务流程给捋顺了，一层一层地分解</w:t>
            </w:r>
            <w:r>
              <w:rPr>
                <w:rFonts w:hint="eastAsia" w:ascii="宋体" w:hAnsi="宋体"/>
                <w:b w:val="0"/>
                <w:bCs w:val="0"/>
                <w:szCs w:val="21"/>
              </w:rPr>
              <w:t>梳理并优化关键业务流程</w:t>
            </w:r>
            <w:r>
              <w:rPr>
                <w:rFonts w:hint="eastAsia" w:ascii="宋体" w:hAnsi="宋体"/>
                <w:b w:val="0"/>
                <w:bCs w:val="0"/>
                <w:szCs w:val="21"/>
                <w:lang w:eastAsia="zh-CN"/>
              </w:rPr>
              <w:t>，</w:t>
            </w:r>
            <w:r>
              <w:rPr>
                <w:rFonts w:hint="eastAsia" w:ascii="宋体" w:hAnsi="宋体"/>
                <w:b w:val="0"/>
                <w:bCs w:val="0"/>
                <w:szCs w:val="21"/>
              </w:rPr>
              <w:t>特别是《电子病历应用评价体系》中强调的闭环流程。</w:t>
            </w:r>
            <w:r>
              <w:rPr>
                <w:rFonts w:hint="eastAsia" w:ascii="宋体" w:hAnsi="宋体"/>
                <w:b/>
                <w:bCs/>
                <w:szCs w:val="21"/>
              </w:rPr>
              <w:t>二是，深化业务与IT的融合</w:t>
            </w:r>
            <w:r>
              <w:rPr>
                <w:rFonts w:hint="eastAsia" w:ascii="宋体" w:hAnsi="宋体"/>
                <w:b w:val="0"/>
                <w:bCs w:val="0"/>
                <w:szCs w:val="21"/>
              </w:rPr>
              <w:t>，将强化业务驱动IT的理念，提升业务在信息技术规划、设计和实施过程中的参与度。通过业务目标与IT系统建设的紧密结合，确保信息技术能够真正服务于业务，体现业务价值，推动业务与信息的深度融合。</w:t>
            </w:r>
            <w:r>
              <w:rPr>
                <w:rFonts w:hint="eastAsia" w:ascii="宋体" w:hAnsi="宋体"/>
                <w:b/>
                <w:bCs/>
                <w:szCs w:val="21"/>
              </w:rPr>
              <w:t>三是，通过业务目标分解和整改问题分解</w:t>
            </w:r>
            <w:r>
              <w:rPr>
                <w:rFonts w:hint="eastAsia" w:ascii="宋体" w:hAnsi="宋体"/>
                <w:b w:val="0"/>
                <w:bCs w:val="0"/>
                <w:szCs w:val="21"/>
              </w:rPr>
              <w:t>，将目标和问题映射，形成切实可行的解决方案和落地实施计划。</w:t>
            </w:r>
          </w:p>
          <w:p>
            <w:pPr>
              <w:spacing w:line="276" w:lineRule="exact"/>
              <w:ind w:firstLine="422" w:firstLineChars="200"/>
              <w:contextualSpacing/>
              <w:jc w:val="left"/>
              <w:rPr>
                <w:rFonts w:hint="eastAsia" w:ascii="宋体" w:hAnsi="宋体"/>
                <w:b/>
                <w:bCs/>
                <w:szCs w:val="21"/>
              </w:rPr>
            </w:pPr>
            <w:r>
              <w:rPr>
                <w:rFonts w:hint="eastAsia" w:ascii="宋体" w:hAnsi="宋体"/>
                <w:b/>
                <w:bCs/>
                <w:szCs w:val="21"/>
              </w:rPr>
              <w:t>（二）工作计划</w:t>
            </w:r>
          </w:p>
          <w:p>
            <w:pPr>
              <w:spacing w:line="276" w:lineRule="exact"/>
              <w:ind w:firstLine="420" w:firstLineChars="200"/>
              <w:contextualSpacing/>
              <w:jc w:val="left"/>
              <w:rPr>
                <w:rFonts w:hint="eastAsia" w:ascii="宋体" w:hAnsi="宋体"/>
                <w:b w:val="0"/>
                <w:bCs w:val="0"/>
                <w:szCs w:val="21"/>
              </w:rPr>
            </w:pPr>
            <w:r>
              <w:rPr>
                <w:rFonts w:hint="eastAsia" w:ascii="宋体" w:hAnsi="宋体"/>
                <w:b w:val="0"/>
                <w:bCs w:val="0"/>
                <w:szCs w:val="21"/>
              </w:rPr>
              <w:t>按管理要求对电子病历持续优化和改造、营养系统招采后实施、采购模式确定以后采购系统的实施以打通以预算、采购、报销整个线上体系、财务系统相关接口对接工作、住培管理系统优化、患者服务端的持续改进、血库与血站互联互通的优化、天府无纸化项目推进、天府体检升级与分院区应用、AI超声质控的建设、医联体双向转诊建设、绩效系统升级、生殖系统更新、LIS系统升级、病案质量管理系统等方面的信息化建设工作。</w:t>
            </w:r>
          </w:p>
          <w:p>
            <w:pPr>
              <w:spacing w:line="276" w:lineRule="exact"/>
              <w:ind w:firstLine="420" w:firstLineChars="200"/>
              <w:contextualSpacing/>
              <w:jc w:val="left"/>
              <w:rPr>
                <w:rFonts w:hint="eastAsia" w:ascii="宋体" w:hAnsi="宋体"/>
                <w:szCs w:val="21"/>
              </w:rPr>
            </w:pPr>
            <w:r>
              <w:rPr>
                <w:rFonts w:hint="eastAsia" w:ascii="宋体" w:hAnsi="宋体"/>
                <w:b w:val="0"/>
                <w:bCs w:val="0"/>
                <w:szCs w:val="21"/>
              </w:rPr>
              <w:t>。</w:t>
            </w:r>
          </w:p>
        </w:tc>
      </w:tr>
      <w:tr>
        <w:tblPrEx>
          <w:tblCellMar>
            <w:top w:w="0" w:type="dxa"/>
            <w:left w:w="0" w:type="dxa"/>
            <w:bottom w:w="0" w:type="dxa"/>
            <w:right w:w="0" w:type="dxa"/>
          </w:tblCellMar>
        </w:tblPrEx>
        <w:trPr>
          <w:trHeight w:val="441" w:hRule="atLeast"/>
          <w:jc w:val="center"/>
        </w:trPr>
        <w:tc>
          <w:tcPr>
            <w:tcW w:w="4190" w:type="dxa"/>
            <w:gridSpan w:val="6"/>
            <w:tcBorders>
              <w:top w:val="single" w:color="auto" w:sz="8" w:space="0"/>
              <w:left w:val="single" w:color="auto" w:sz="12" w:space="0"/>
              <w:bottom w:val="single" w:color="auto" w:sz="2" w:space="0"/>
              <w:right w:val="single" w:color="auto" w:sz="2" w:space="0"/>
            </w:tcBorders>
            <w:noWrap w:val="0"/>
            <w:vAlign w:val="center"/>
          </w:tcPr>
          <w:p>
            <w:pPr>
              <w:spacing w:line="400" w:lineRule="exact"/>
              <w:ind w:firstLine="1256" w:firstLineChars="447"/>
              <w:rPr>
                <w:rFonts w:hint="eastAsia" w:ascii="仿宋_GB2312" w:eastAsia="仿宋_GB2312"/>
                <w:b/>
                <w:sz w:val="24"/>
              </w:rPr>
            </w:pPr>
            <w:r>
              <w:rPr>
                <w:rFonts w:hint="eastAsia" w:ascii="楷体_GB2312" w:eastAsia="楷体_GB2312"/>
                <w:b/>
                <w:sz w:val="28"/>
                <w:szCs w:val="28"/>
              </w:rPr>
              <w:t>主管领导评语</w:t>
            </w:r>
          </w:p>
        </w:tc>
        <w:tc>
          <w:tcPr>
            <w:tcW w:w="6602" w:type="dxa"/>
            <w:gridSpan w:val="5"/>
            <w:tcBorders>
              <w:top w:val="single" w:color="auto" w:sz="8" w:space="0"/>
              <w:left w:val="single" w:color="auto" w:sz="2" w:space="0"/>
              <w:bottom w:val="single" w:color="auto" w:sz="2" w:space="0"/>
              <w:right w:val="single" w:color="auto" w:sz="12" w:space="0"/>
            </w:tcBorders>
            <w:noWrap w:val="0"/>
            <w:vAlign w:val="center"/>
          </w:tcPr>
          <w:p>
            <w:pPr>
              <w:spacing w:line="400" w:lineRule="exact"/>
              <w:jc w:val="center"/>
              <w:rPr>
                <w:rFonts w:hint="eastAsia" w:ascii="仿宋_GB2312" w:eastAsia="仿宋_GB2312"/>
                <w:b/>
                <w:sz w:val="24"/>
              </w:rPr>
            </w:pPr>
            <w:r>
              <w:rPr>
                <w:rFonts w:hint="eastAsia" w:ascii="楷体_GB2312" w:hAnsi="宋体" w:eastAsia="楷体_GB2312"/>
                <w:b/>
                <w:color w:val="000000"/>
                <w:kern w:val="0"/>
                <w:sz w:val="28"/>
                <w:szCs w:val="28"/>
              </w:rPr>
              <w:t>考核小组确定等次意见</w:t>
            </w:r>
          </w:p>
        </w:tc>
      </w:tr>
      <w:tr>
        <w:tblPrEx>
          <w:tblCellMar>
            <w:top w:w="0" w:type="dxa"/>
            <w:left w:w="0" w:type="dxa"/>
            <w:bottom w:w="0" w:type="dxa"/>
            <w:right w:w="0" w:type="dxa"/>
          </w:tblCellMar>
        </w:tblPrEx>
        <w:trPr>
          <w:trHeight w:val="988" w:hRule="atLeast"/>
          <w:jc w:val="center"/>
        </w:trPr>
        <w:tc>
          <w:tcPr>
            <w:tcW w:w="4190" w:type="dxa"/>
            <w:gridSpan w:val="6"/>
            <w:tcBorders>
              <w:top w:val="single" w:color="auto" w:sz="2" w:space="0"/>
              <w:left w:val="single" w:color="auto" w:sz="12" w:space="0"/>
              <w:bottom w:val="single" w:color="auto" w:sz="2" w:space="0"/>
              <w:right w:val="single" w:color="auto" w:sz="2" w:space="0"/>
            </w:tcBorders>
            <w:noWrap w:val="0"/>
            <w:vAlign w:val="bottom"/>
          </w:tcPr>
          <w:p>
            <w:pPr>
              <w:spacing w:line="400" w:lineRule="exact"/>
              <w:ind w:right="560" w:firstLine="1124" w:firstLineChars="400"/>
              <w:rPr>
                <w:rFonts w:hint="eastAsia" w:ascii="楷体_GB2312" w:hAnsi="宋体" w:eastAsia="楷体_GB2312"/>
                <w:b/>
                <w:color w:val="000000"/>
                <w:kern w:val="0"/>
                <w:sz w:val="28"/>
                <w:szCs w:val="28"/>
              </w:rPr>
            </w:pPr>
            <w:r>
              <w:rPr>
                <w:rFonts w:hint="eastAsia" w:ascii="楷体_GB2312" w:hAnsi="宋体" w:eastAsia="楷体_GB2312"/>
                <w:b/>
                <w:color w:val="000000"/>
                <w:kern w:val="0"/>
                <w:sz w:val="28"/>
                <w:szCs w:val="28"/>
              </w:rPr>
              <w:t>签   名：</w:t>
            </w:r>
          </w:p>
          <w:p>
            <w:pPr>
              <w:spacing w:line="400" w:lineRule="exact"/>
              <w:ind w:right="560" w:firstLine="1124" w:firstLineChars="400"/>
              <w:rPr>
                <w:rFonts w:hint="eastAsia" w:ascii="楷体_GB2312" w:hAnsi="宋体" w:eastAsia="楷体_GB2312"/>
                <w:b/>
                <w:color w:val="000000"/>
                <w:kern w:val="0"/>
                <w:sz w:val="28"/>
                <w:szCs w:val="28"/>
              </w:rPr>
            </w:pPr>
          </w:p>
          <w:p>
            <w:pPr>
              <w:spacing w:line="400" w:lineRule="exact"/>
              <w:ind w:firstLine="2100" w:firstLineChars="747"/>
              <w:jc w:val="right"/>
              <w:rPr>
                <w:rFonts w:hint="eastAsia" w:ascii="仿宋_GB2312" w:eastAsia="仿宋_GB2312"/>
                <w:b/>
                <w:sz w:val="24"/>
              </w:rPr>
            </w:pPr>
            <w:r>
              <w:rPr>
                <w:rFonts w:hint="eastAsia" w:ascii="楷体_GB2312" w:hAnsi="宋体" w:eastAsia="楷体_GB2312"/>
                <w:b/>
                <w:color w:val="000000"/>
                <w:kern w:val="0"/>
                <w:sz w:val="28"/>
                <w:szCs w:val="28"/>
              </w:rPr>
              <w:t>年   月   日</w:t>
            </w:r>
          </w:p>
        </w:tc>
        <w:tc>
          <w:tcPr>
            <w:tcW w:w="6602" w:type="dxa"/>
            <w:gridSpan w:val="5"/>
            <w:tcBorders>
              <w:top w:val="single" w:color="auto" w:sz="2" w:space="0"/>
              <w:left w:val="single" w:color="auto" w:sz="2" w:space="0"/>
              <w:bottom w:val="single" w:color="auto" w:sz="2" w:space="0"/>
              <w:right w:val="single" w:color="auto" w:sz="12" w:space="0"/>
            </w:tcBorders>
            <w:noWrap w:val="0"/>
            <w:vAlign w:val="bottom"/>
          </w:tcPr>
          <w:p>
            <w:pPr>
              <w:spacing w:line="400" w:lineRule="exact"/>
              <w:ind w:right="560" w:firstLine="1819" w:firstLineChars="647"/>
              <w:rPr>
                <w:rFonts w:hint="eastAsia" w:ascii="楷体_GB2312" w:hAnsi="宋体" w:eastAsia="楷体_GB2312"/>
                <w:b/>
                <w:color w:val="000000"/>
                <w:kern w:val="0"/>
                <w:sz w:val="28"/>
                <w:szCs w:val="28"/>
              </w:rPr>
            </w:pPr>
            <w:r>
              <w:rPr>
                <w:rFonts w:hint="eastAsia" w:ascii="楷体_GB2312" w:hAnsi="宋体" w:eastAsia="楷体_GB2312"/>
                <w:b/>
                <w:color w:val="000000"/>
                <w:kern w:val="0"/>
                <w:sz w:val="28"/>
                <w:szCs w:val="28"/>
              </w:rPr>
              <w:t>签   名：</w:t>
            </w:r>
          </w:p>
          <w:p>
            <w:pPr>
              <w:spacing w:line="400" w:lineRule="exact"/>
              <w:ind w:right="560" w:firstLine="1819" w:firstLineChars="647"/>
              <w:rPr>
                <w:rFonts w:hint="eastAsia" w:ascii="楷体_GB2312" w:hAnsi="宋体" w:eastAsia="楷体_GB2312"/>
                <w:b/>
                <w:color w:val="000000"/>
                <w:kern w:val="0"/>
                <w:sz w:val="28"/>
                <w:szCs w:val="28"/>
              </w:rPr>
            </w:pPr>
          </w:p>
          <w:p>
            <w:pPr>
              <w:spacing w:line="400" w:lineRule="exact"/>
              <w:ind w:firstLine="1819" w:firstLineChars="647"/>
              <w:jc w:val="right"/>
              <w:rPr>
                <w:rFonts w:hint="eastAsia" w:ascii="仿宋_GB2312" w:eastAsia="仿宋_GB2312"/>
                <w:b/>
                <w:sz w:val="24"/>
              </w:rPr>
            </w:pPr>
            <w:r>
              <w:rPr>
                <w:rFonts w:hint="eastAsia" w:ascii="楷体_GB2312" w:hAnsi="宋体" w:eastAsia="楷体_GB2312"/>
                <w:b/>
                <w:color w:val="000000"/>
                <w:kern w:val="0"/>
                <w:sz w:val="28"/>
                <w:szCs w:val="28"/>
              </w:rPr>
              <w:t>年  月  日</w:t>
            </w:r>
          </w:p>
        </w:tc>
      </w:tr>
      <w:tr>
        <w:tblPrEx>
          <w:tblCellMar>
            <w:top w:w="0" w:type="dxa"/>
            <w:left w:w="0" w:type="dxa"/>
            <w:bottom w:w="0" w:type="dxa"/>
            <w:right w:w="0" w:type="dxa"/>
          </w:tblCellMar>
        </w:tblPrEx>
        <w:trPr>
          <w:trHeight w:val="434" w:hRule="atLeast"/>
          <w:jc w:val="center"/>
        </w:trPr>
        <w:tc>
          <w:tcPr>
            <w:tcW w:w="4190" w:type="dxa"/>
            <w:gridSpan w:val="6"/>
            <w:tcBorders>
              <w:top w:val="single" w:color="auto" w:sz="2" w:space="0"/>
              <w:left w:val="single" w:color="auto" w:sz="12" w:space="0"/>
              <w:bottom w:val="single" w:color="auto" w:sz="2" w:space="0"/>
              <w:right w:val="single" w:color="auto" w:sz="2" w:space="0"/>
            </w:tcBorders>
            <w:noWrap w:val="0"/>
            <w:vAlign w:val="bottom"/>
          </w:tcPr>
          <w:p>
            <w:pPr>
              <w:spacing w:line="400" w:lineRule="exact"/>
              <w:ind w:firstLine="1256" w:firstLineChars="447"/>
              <w:rPr>
                <w:rFonts w:hint="eastAsia" w:ascii="楷体_GB2312" w:eastAsia="楷体_GB2312"/>
                <w:b/>
                <w:sz w:val="28"/>
                <w:szCs w:val="28"/>
              </w:rPr>
            </w:pPr>
            <w:r>
              <w:rPr>
                <w:rFonts w:hint="eastAsia" w:ascii="楷体_GB2312" w:eastAsia="楷体_GB2312"/>
                <w:b/>
                <w:sz w:val="28"/>
                <w:szCs w:val="28"/>
              </w:rPr>
              <w:t>被考核人意见</w:t>
            </w:r>
          </w:p>
        </w:tc>
        <w:tc>
          <w:tcPr>
            <w:tcW w:w="6602" w:type="dxa"/>
            <w:gridSpan w:val="5"/>
            <w:tcBorders>
              <w:top w:val="single" w:color="auto" w:sz="2" w:space="0"/>
              <w:left w:val="single" w:color="auto" w:sz="2" w:space="0"/>
              <w:bottom w:val="single" w:color="auto" w:sz="2" w:space="0"/>
              <w:right w:val="single" w:color="auto" w:sz="12" w:space="0"/>
            </w:tcBorders>
            <w:noWrap w:val="0"/>
            <w:vAlign w:val="bottom"/>
          </w:tcPr>
          <w:p>
            <w:pPr>
              <w:spacing w:line="400" w:lineRule="exact"/>
              <w:ind w:firstLine="1397" w:firstLineChars="497"/>
              <w:rPr>
                <w:rFonts w:hint="eastAsia" w:ascii="楷体_GB2312" w:eastAsia="楷体_GB2312"/>
                <w:b/>
                <w:sz w:val="28"/>
                <w:szCs w:val="28"/>
              </w:rPr>
            </w:pPr>
            <w:r>
              <w:rPr>
                <w:rFonts w:hint="eastAsia" w:ascii="楷体_GB2312" w:eastAsia="楷体_GB2312"/>
                <w:b/>
                <w:sz w:val="28"/>
                <w:szCs w:val="28"/>
              </w:rPr>
              <w:t>考核等次结果</w:t>
            </w:r>
          </w:p>
        </w:tc>
      </w:tr>
      <w:tr>
        <w:tblPrEx>
          <w:tblCellMar>
            <w:top w:w="0" w:type="dxa"/>
            <w:left w:w="0" w:type="dxa"/>
            <w:bottom w:w="0" w:type="dxa"/>
            <w:right w:w="0" w:type="dxa"/>
          </w:tblCellMar>
        </w:tblPrEx>
        <w:trPr>
          <w:trHeight w:val="833" w:hRule="atLeast"/>
          <w:jc w:val="center"/>
        </w:trPr>
        <w:tc>
          <w:tcPr>
            <w:tcW w:w="4190" w:type="dxa"/>
            <w:gridSpan w:val="6"/>
            <w:tcBorders>
              <w:top w:val="single" w:color="auto" w:sz="2" w:space="0"/>
              <w:left w:val="single" w:color="auto" w:sz="12" w:space="0"/>
              <w:bottom w:val="single" w:color="auto" w:sz="2" w:space="0"/>
              <w:right w:val="single" w:color="auto" w:sz="2" w:space="0"/>
            </w:tcBorders>
            <w:noWrap w:val="0"/>
            <w:vAlign w:val="bottom"/>
          </w:tcPr>
          <w:p>
            <w:pPr>
              <w:spacing w:line="400" w:lineRule="exact"/>
              <w:ind w:right="561"/>
              <w:contextualSpacing/>
              <w:jc w:val="center"/>
              <w:rPr>
                <w:rFonts w:hint="eastAsia" w:ascii="楷体_GB2312" w:hAnsi="宋体" w:eastAsia="楷体_GB2312"/>
                <w:b/>
                <w:color w:val="000000"/>
                <w:kern w:val="0"/>
                <w:sz w:val="28"/>
                <w:szCs w:val="28"/>
              </w:rPr>
            </w:pPr>
            <w:r>
              <w:rPr>
                <w:rFonts w:hint="eastAsia" w:ascii="楷体_GB2312" w:hAnsi="宋体" w:eastAsia="楷体_GB2312"/>
                <w:b/>
                <w:color w:val="000000"/>
                <w:kern w:val="0"/>
                <w:sz w:val="28"/>
                <w:szCs w:val="28"/>
              </w:rPr>
              <w:t xml:space="preserve">签 </w:t>
            </w:r>
            <w:r>
              <w:rPr>
                <w:rFonts w:ascii="楷体_GB2312" w:hAnsi="宋体" w:eastAsia="楷体_GB2312"/>
                <w:b/>
                <w:color w:val="000000"/>
                <w:kern w:val="0"/>
                <w:sz w:val="28"/>
                <w:szCs w:val="28"/>
              </w:rPr>
              <w:t xml:space="preserve">  </w:t>
            </w:r>
            <w:r>
              <w:rPr>
                <w:rFonts w:hint="eastAsia" w:ascii="楷体_GB2312" w:hAnsi="宋体" w:eastAsia="楷体_GB2312"/>
                <w:b/>
                <w:color w:val="000000"/>
                <w:kern w:val="0"/>
                <w:sz w:val="28"/>
                <w:szCs w:val="28"/>
              </w:rPr>
              <w:t>名：</w:t>
            </w:r>
          </w:p>
          <w:p>
            <w:pPr>
              <w:spacing w:line="400" w:lineRule="exact"/>
              <w:ind w:right="561"/>
              <w:contextualSpacing/>
              <w:jc w:val="center"/>
              <w:rPr>
                <w:rFonts w:hint="eastAsia" w:ascii="楷体_GB2312" w:hAnsi="宋体" w:eastAsia="楷体_GB2312"/>
                <w:b/>
                <w:color w:val="000000"/>
                <w:kern w:val="0"/>
                <w:sz w:val="28"/>
                <w:szCs w:val="28"/>
              </w:rPr>
            </w:pPr>
          </w:p>
          <w:p>
            <w:pPr>
              <w:spacing w:line="400" w:lineRule="exact"/>
              <w:ind w:right="561"/>
              <w:contextualSpacing/>
              <w:jc w:val="center"/>
              <w:rPr>
                <w:rFonts w:hint="eastAsia" w:ascii="楷体_GB2312" w:hAnsi="宋体" w:eastAsia="楷体_GB2312"/>
                <w:b/>
                <w:color w:val="000000"/>
                <w:kern w:val="0"/>
                <w:sz w:val="28"/>
                <w:szCs w:val="28"/>
              </w:rPr>
            </w:pPr>
          </w:p>
          <w:p>
            <w:pPr>
              <w:spacing w:line="400" w:lineRule="exact"/>
              <w:ind w:right="561" w:firstLine="413" w:firstLineChars="147"/>
              <w:contextualSpacing/>
              <w:jc w:val="right"/>
              <w:rPr>
                <w:rFonts w:hint="eastAsia" w:ascii="楷体_GB2312" w:hAnsi="宋体" w:eastAsia="楷体_GB2312"/>
                <w:b/>
                <w:color w:val="000000"/>
                <w:kern w:val="0"/>
                <w:sz w:val="28"/>
                <w:szCs w:val="28"/>
              </w:rPr>
            </w:pPr>
            <w:r>
              <w:rPr>
                <w:rFonts w:hint="eastAsia" w:ascii="楷体_GB2312" w:hAnsi="宋体" w:eastAsia="楷体_GB2312"/>
                <w:b/>
                <w:color w:val="000000"/>
                <w:kern w:val="0"/>
                <w:sz w:val="28"/>
                <w:szCs w:val="28"/>
              </w:rPr>
              <w:t xml:space="preserve"> </w:t>
            </w:r>
            <w:r>
              <w:rPr>
                <w:rFonts w:hint="eastAsia" w:ascii="楷体_GB2312" w:hAnsi="宋体" w:eastAsia="楷体_GB2312"/>
                <w:b/>
                <w:color w:val="000000"/>
                <w:kern w:val="0"/>
                <w:sz w:val="28"/>
                <w:szCs w:val="28"/>
                <w:lang w:val="en-US" w:eastAsia="zh-CN"/>
              </w:rPr>
              <w:t xml:space="preserve"> </w:t>
            </w:r>
            <w:r>
              <w:rPr>
                <w:rFonts w:hint="eastAsia" w:ascii="楷体_GB2312" w:hAnsi="宋体" w:eastAsia="楷体_GB2312"/>
                <w:b/>
                <w:color w:val="000000"/>
                <w:kern w:val="0"/>
                <w:sz w:val="28"/>
                <w:szCs w:val="28"/>
              </w:rPr>
              <w:t>年   月   日</w:t>
            </w:r>
          </w:p>
        </w:tc>
        <w:tc>
          <w:tcPr>
            <w:tcW w:w="6602" w:type="dxa"/>
            <w:gridSpan w:val="5"/>
            <w:tcBorders>
              <w:top w:val="single" w:color="auto" w:sz="2" w:space="0"/>
              <w:left w:val="single" w:color="auto" w:sz="2" w:space="0"/>
              <w:bottom w:val="single" w:color="auto" w:sz="2" w:space="0"/>
              <w:right w:val="single" w:color="auto" w:sz="12" w:space="0"/>
            </w:tcBorders>
            <w:noWrap w:val="0"/>
            <w:vAlign w:val="center"/>
          </w:tcPr>
          <w:p>
            <w:pPr>
              <w:spacing w:line="400" w:lineRule="exact"/>
              <w:ind w:right="561"/>
              <w:contextualSpacing/>
              <w:jc w:val="center"/>
              <w:rPr>
                <w:rFonts w:hint="eastAsia" w:ascii="楷体_GB2312" w:hAnsi="宋体" w:eastAsia="楷体_GB2312"/>
                <w:b/>
                <w:color w:val="000000"/>
                <w:kern w:val="0"/>
                <w:sz w:val="28"/>
                <w:szCs w:val="28"/>
              </w:rPr>
            </w:pPr>
            <w:r>
              <w:rPr>
                <w:rFonts w:hint="eastAsia" w:ascii="楷体_GB2312" w:hAnsi="宋体" w:eastAsia="楷体_GB2312"/>
                <w:b/>
                <w:color w:val="000000"/>
                <w:kern w:val="0"/>
                <w:sz w:val="28"/>
                <w:szCs w:val="28"/>
              </w:rPr>
              <w:t>单位盖章</w:t>
            </w:r>
          </w:p>
          <w:p>
            <w:pPr>
              <w:spacing w:line="400" w:lineRule="exact"/>
              <w:ind w:right="561"/>
              <w:contextualSpacing/>
              <w:jc w:val="center"/>
              <w:rPr>
                <w:rFonts w:hint="eastAsia" w:ascii="楷体_GB2312" w:hAnsi="宋体" w:eastAsia="楷体_GB2312"/>
                <w:b/>
                <w:color w:val="000000"/>
                <w:kern w:val="0"/>
                <w:sz w:val="28"/>
                <w:szCs w:val="28"/>
              </w:rPr>
            </w:pPr>
          </w:p>
          <w:p>
            <w:pPr>
              <w:spacing w:line="400" w:lineRule="exact"/>
              <w:ind w:right="561" w:firstLine="1397" w:firstLineChars="497"/>
              <w:contextualSpacing/>
              <w:jc w:val="center"/>
              <w:rPr>
                <w:rFonts w:hint="eastAsia" w:ascii="楷体_GB2312" w:hAnsi="宋体" w:eastAsia="楷体_GB2312"/>
                <w:b/>
                <w:color w:val="000000"/>
                <w:kern w:val="0"/>
                <w:sz w:val="28"/>
                <w:szCs w:val="28"/>
              </w:rPr>
            </w:pPr>
          </w:p>
          <w:p>
            <w:pPr>
              <w:spacing w:line="400" w:lineRule="exact"/>
              <w:ind w:right="561" w:firstLine="1397" w:firstLineChars="497"/>
              <w:contextualSpacing/>
              <w:jc w:val="center"/>
              <w:rPr>
                <w:rFonts w:hint="eastAsia" w:ascii="楷体_GB2312" w:hAnsi="宋体" w:eastAsia="楷体_GB2312"/>
                <w:b/>
                <w:color w:val="000000"/>
                <w:kern w:val="0"/>
                <w:sz w:val="28"/>
                <w:szCs w:val="28"/>
              </w:rPr>
            </w:pPr>
            <w:r>
              <w:rPr>
                <w:rFonts w:hint="eastAsia" w:ascii="楷体_GB2312" w:hAnsi="宋体" w:eastAsia="楷体_GB2312"/>
                <w:b/>
                <w:color w:val="000000"/>
                <w:kern w:val="0"/>
                <w:sz w:val="28"/>
                <w:szCs w:val="28"/>
              </w:rPr>
              <w:t xml:space="preserve">        年  月  日</w:t>
            </w:r>
          </w:p>
        </w:tc>
      </w:tr>
    </w:tbl>
    <w:p>
      <w:pPr>
        <w:rPr>
          <w:rFonts w:hint="eastAsia"/>
        </w:rPr>
      </w:pP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方正小标宋简体">
    <w:altName w:val="宋体"/>
    <w:panose1 w:val="02010601030101010101"/>
    <w:charset w:val="86"/>
    <w:family w:val="auto"/>
    <w:pitch w:val="default"/>
    <w:sig w:usb0="00000000" w:usb1="00000000" w:usb2="00000010" w:usb3="00000000" w:csb0="00040000" w:csb1="00000000"/>
  </w:font>
  <w:font w:name="仿宋_GB2312">
    <w:panose1 w:val="02010609030101010101"/>
    <w:charset w:val="86"/>
    <w:family w:val="modern"/>
    <w:pitch w:val="default"/>
    <w:sig w:usb0="00000001" w:usb1="080E0000" w:usb2="00000000" w:usb3="00000000" w:csb0="00040000"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oNotDisplayPageBoundaries w:val="1"/>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D6739"/>
    <w:rsid w:val="000017DC"/>
    <w:rsid w:val="000079A6"/>
    <w:rsid w:val="00014AB4"/>
    <w:rsid w:val="00014E8A"/>
    <w:rsid w:val="00020418"/>
    <w:rsid w:val="00021DDF"/>
    <w:rsid w:val="00033610"/>
    <w:rsid w:val="00033826"/>
    <w:rsid w:val="000404C7"/>
    <w:rsid w:val="00044178"/>
    <w:rsid w:val="00044845"/>
    <w:rsid w:val="00046562"/>
    <w:rsid w:val="00053731"/>
    <w:rsid w:val="0006030F"/>
    <w:rsid w:val="00060944"/>
    <w:rsid w:val="0006329E"/>
    <w:rsid w:val="000638DD"/>
    <w:rsid w:val="0006398E"/>
    <w:rsid w:val="00064ECC"/>
    <w:rsid w:val="00065277"/>
    <w:rsid w:val="00067219"/>
    <w:rsid w:val="0007293B"/>
    <w:rsid w:val="0008114E"/>
    <w:rsid w:val="0008354E"/>
    <w:rsid w:val="00092D0E"/>
    <w:rsid w:val="00097CF1"/>
    <w:rsid w:val="000A19E2"/>
    <w:rsid w:val="000A7022"/>
    <w:rsid w:val="000A785A"/>
    <w:rsid w:val="000B6706"/>
    <w:rsid w:val="000C6AAD"/>
    <w:rsid w:val="000D2B99"/>
    <w:rsid w:val="000D5A8C"/>
    <w:rsid w:val="000E10A8"/>
    <w:rsid w:val="000E5571"/>
    <w:rsid w:val="000E7120"/>
    <w:rsid w:val="000F30D8"/>
    <w:rsid w:val="000F383F"/>
    <w:rsid w:val="000F6275"/>
    <w:rsid w:val="00102BBF"/>
    <w:rsid w:val="00103037"/>
    <w:rsid w:val="00103E27"/>
    <w:rsid w:val="001076CA"/>
    <w:rsid w:val="00120B91"/>
    <w:rsid w:val="00134109"/>
    <w:rsid w:val="00134F82"/>
    <w:rsid w:val="00136DC4"/>
    <w:rsid w:val="00143C83"/>
    <w:rsid w:val="001471E7"/>
    <w:rsid w:val="00151A01"/>
    <w:rsid w:val="00163B57"/>
    <w:rsid w:val="001702FE"/>
    <w:rsid w:val="00170F65"/>
    <w:rsid w:val="00182550"/>
    <w:rsid w:val="0018386B"/>
    <w:rsid w:val="001907D0"/>
    <w:rsid w:val="00196E7A"/>
    <w:rsid w:val="001A1412"/>
    <w:rsid w:val="001B3303"/>
    <w:rsid w:val="001C2DE0"/>
    <w:rsid w:val="001C302E"/>
    <w:rsid w:val="001C3084"/>
    <w:rsid w:val="001C439B"/>
    <w:rsid w:val="001D418C"/>
    <w:rsid w:val="001D421A"/>
    <w:rsid w:val="001E538D"/>
    <w:rsid w:val="001E751F"/>
    <w:rsid w:val="002007C4"/>
    <w:rsid w:val="00204EC0"/>
    <w:rsid w:val="0020691D"/>
    <w:rsid w:val="00215F69"/>
    <w:rsid w:val="00220BED"/>
    <w:rsid w:val="0022241C"/>
    <w:rsid w:val="00226B33"/>
    <w:rsid w:val="00227CF9"/>
    <w:rsid w:val="00230F6A"/>
    <w:rsid w:val="002314E7"/>
    <w:rsid w:val="0023584E"/>
    <w:rsid w:val="002370E0"/>
    <w:rsid w:val="00243213"/>
    <w:rsid w:val="002452DA"/>
    <w:rsid w:val="002507DD"/>
    <w:rsid w:val="00250821"/>
    <w:rsid w:val="00257F71"/>
    <w:rsid w:val="00261A70"/>
    <w:rsid w:val="002620EA"/>
    <w:rsid w:val="00262823"/>
    <w:rsid w:val="00272BDB"/>
    <w:rsid w:val="00274313"/>
    <w:rsid w:val="00276789"/>
    <w:rsid w:val="0027681C"/>
    <w:rsid w:val="002856D2"/>
    <w:rsid w:val="002863C9"/>
    <w:rsid w:val="002921D9"/>
    <w:rsid w:val="00297E26"/>
    <w:rsid w:val="002A0808"/>
    <w:rsid w:val="002A2536"/>
    <w:rsid w:val="002B2FB1"/>
    <w:rsid w:val="002B5BA5"/>
    <w:rsid w:val="002B6C8C"/>
    <w:rsid w:val="002C0C49"/>
    <w:rsid w:val="002C105C"/>
    <w:rsid w:val="002C2C4D"/>
    <w:rsid w:val="002C366D"/>
    <w:rsid w:val="002C799F"/>
    <w:rsid w:val="002C7F85"/>
    <w:rsid w:val="002D06B3"/>
    <w:rsid w:val="002D11BC"/>
    <w:rsid w:val="002D3917"/>
    <w:rsid w:val="002D630D"/>
    <w:rsid w:val="002D66E6"/>
    <w:rsid w:val="002E18DE"/>
    <w:rsid w:val="002E4D7A"/>
    <w:rsid w:val="002E69B7"/>
    <w:rsid w:val="002F0F26"/>
    <w:rsid w:val="002F39AB"/>
    <w:rsid w:val="003038FA"/>
    <w:rsid w:val="003059ED"/>
    <w:rsid w:val="003069BA"/>
    <w:rsid w:val="0031054F"/>
    <w:rsid w:val="00313492"/>
    <w:rsid w:val="00314F6C"/>
    <w:rsid w:val="00324C8E"/>
    <w:rsid w:val="003255FC"/>
    <w:rsid w:val="00327761"/>
    <w:rsid w:val="00335C58"/>
    <w:rsid w:val="00337AE7"/>
    <w:rsid w:val="0034549C"/>
    <w:rsid w:val="003471CE"/>
    <w:rsid w:val="00353762"/>
    <w:rsid w:val="00362183"/>
    <w:rsid w:val="00371AAC"/>
    <w:rsid w:val="00382ACA"/>
    <w:rsid w:val="00383101"/>
    <w:rsid w:val="00391379"/>
    <w:rsid w:val="00396107"/>
    <w:rsid w:val="00397DA7"/>
    <w:rsid w:val="003A0233"/>
    <w:rsid w:val="003A0CE8"/>
    <w:rsid w:val="003A2215"/>
    <w:rsid w:val="003A4CA1"/>
    <w:rsid w:val="003B2DF0"/>
    <w:rsid w:val="003B6492"/>
    <w:rsid w:val="003C3B82"/>
    <w:rsid w:val="003C4209"/>
    <w:rsid w:val="003C5FB8"/>
    <w:rsid w:val="003D4C28"/>
    <w:rsid w:val="003E01B5"/>
    <w:rsid w:val="003F3D0F"/>
    <w:rsid w:val="00406A25"/>
    <w:rsid w:val="00407F8E"/>
    <w:rsid w:val="004118CA"/>
    <w:rsid w:val="0041460F"/>
    <w:rsid w:val="00414BE9"/>
    <w:rsid w:val="00416758"/>
    <w:rsid w:val="0042599C"/>
    <w:rsid w:val="0044021E"/>
    <w:rsid w:val="00441367"/>
    <w:rsid w:val="004418E8"/>
    <w:rsid w:val="0044198E"/>
    <w:rsid w:val="00451289"/>
    <w:rsid w:val="004515FE"/>
    <w:rsid w:val="004525DB"/>
    <w:rsid w:val="00453E5F"/>
    <w:rsid w:val="00461058"/>
    <w:rsid w:val="00465C9A"/>
    <w:rsid w:val="00466AF0"/>
    <w:rsid w:val="00467330"/>
    <w:rsid w:val="00475F38"/>
    <w:rsid w:val="00477527"/>
    <w:rsid w:val="00480579"/>
    <w:rsid w:val="004860D2"/>
    <w:rsid w:val="004867EE"/>
    <w:rsid w:val="00491F11"/>
    <w:rsid w:val="00492605"/>
    <w:rsid w:val="004A068B"/>
    <w:rsid w:val="004A0CA2"/>
    <w:rsid w:val="004A28C4"/>
    <w:rsid w:val="004A3C4B"/>
    <w:rsid w:val="004A5888"/>
    <w:rsid w:val="004B4679"/>
    <w:rsid w:val="004B60A3"/>
    <w:rsid w:val="004C34E1"/>
    <w:rsid w:val="004C3E7B"/>
    <w:rsid w:val="004D6739"/>
    <w:rsid w:val="004E13CD"/>
    <w:rsid w:val="004E3295"/>
    <w:rsid w:val="004F31F3"/>
    <w:rsid w:val="00501562"/>
    <w:rsid w:val="005031F6"/>
    <w:rsid w:val="0050594A"/>
    <w:rsid w:val="00514059"/>
    <w:rsid w:val="00516B82"/>
    <w:rsid w:val="00520CB1"/>
    <w:rsid w:val="00530205"/>
    <w:rsid w:val="0053287C"/>
    <w:rsid w:val="00541F94"/>
    <w:rsid w:val="0054376C"/>
    <w:rsid w:val="00545598"/>
    <w:rsid w:val="00546649"/>
    <w:rsid w:val="00546F6B"/>
    <w:rsid w:val="00555B96"/>
    <w:rsid w:val="00563736"/>
    <w:rsid w:val="0057332E"/>
    <w:rsid w:val="00577D21"/>
    <w:rsid w:val="00580B1B"/>
    <w:rsid w:val="00582D25"/>
    <w:rsid w:val="0059156C"/>
    <w:rsid w:val="00592040"/>
    <w:rsid w:val="00593783"/>
    <w:rsid w:val="0059582A"/>
    <w:rsid w:val="005A2FA4"/>
    <w:rsid w:val="005B0C9B"/>
    <w:rsid w:val="005B3834"/>
    <w:rsid w:val="005B3C45"/>
    <w:rsid w:val="005B724F"/>
    <w:rsid w:val="005C1609"/>
    <w:rsid w:val="005C2F87"/>
    <w:rsid w:val="005C7B12"/>
    <w:rsid w:val="005D177C"/>
    <w:rsid w:val="005D526E"/>
    <w:rsid w:val="005E1D5E"/>
    <w:rsid w:val="005E3C12"/>
    <w:rsid w:val="005E3CC2"/>
    <w:rsid w:val="005E561A"/>
    <w:rsid w:val="005E68DB"/>
    <w:rsid w:val="005E7E5C"/>
    <w:rsid w:val="005F3E15"/>
    <w:rsid w:val="005F6724"/>
    <w:rsid w:val="00602E13"/>
    <w:rsid w:val="006065EE"/>
    <w:rsid w:val="006072DA"/>
    <w:rsid w:val="006073DD"/>
    <w:rsid w:val="00615E56"/>
    <w:rsid w:val="006168A2"/>
    <w:rsid w:val="00621DAD"/>
    <w:rsid w:val="006254DC"/>
    <w:rsid w:val="006409BE"/>
    <w:rsid w:val="006418CC"/>
    <w:rsid w:val="00642B5D"/>
    <w:rsid w:val="00644CEA"/>
    <w:rsid w:val="00650A8E"/>
    <w:rsid w:val="00651045"/>
    <w:rsid w:val="006520B0"/>
    <w:rsid w:val="006536F2"/>
    <w:rsid w:val="00671E40"/>
    <w:rsid w:val="0067552D"/>
    <w:rsid w:val="00676E22"/>
    <w:rsid w:val="00683584"/>
    <w:rsid w:val="0068369B"/>
    <w:rsid w:val="00687179"/>
    <w:rsid w:val="00691A69"/>
    <w:rsid w:val="00697203"/>
    <w:rsid w:val="00697267"/>
    <w:rsid w:val="006A28DC"/>
    <w:rsid w:val="006A2F63"/>
    <w:rsid w:val="006A7A1E"/>
    <w:rsid w:val="006B1807"/>
    <w:rsid w:val="006B609C"/>
    <w:rsid w:val="006B6D46"/>
    <w:rsid w:val="006B77CF"/>
    <w:rsid w:val="006C0543"/>
    <w:rsid w:val="006C3E25"/>
    <w:rsid w:val="006C605C"/>
    <w:rsid w:val="006E565F"/>
    <w:rsid w:val="006E64EA"/>
    <w:rsid w:val="00702DDA"/>
    <w:rsid w:val="007030FA"/>
    <w:rsid w:val="00707FC2"/>
    <w:rsid w:val="007130A6"/>
    <w:rsid w:val="007215C3"/>
    <w:rsid w:val="007256E1"/>
    <w:rsid w:val="00726A6E"/>
    <w:rsid w:val="007270F0"/>
    <w:rsid w:val="00731949"/>
    <w:rsid w:val="00741B82"/>
    <w:rsid w:val="00741C6C"/>
    <w:rsid w:val="00746C93"/>
    <w:rsid w:val="00753725"/>
    <w:rsid w:val="00755DF4"/>
    <w:rsid w:val="007572AB"/>
    <w:rsid w:val="00760765"/>
    <w:rsid w:val="00760897"/>
    <w:rsid w:val="0076561F"/>
    <w:rsid w:val="00773887"/>
    <w:rsid w:val="007778AE"/>
    <w:rsid w:val="0078193A"/>
    <w:rsid w:val="007875ED"/>
    <w:rsid w:val="0079318D"/>
    <w:rsid w:val="007A4C65"/>
    <w:rsid w:val="007A5CBC"/>
    <w:rsid w:val="007B0C12"/>
    <w:rsid w:val="007B3FDA"/>
    <w:rsid w:val="007B70F2"/>
    <w:rsid w:val="007D28E9"/>
    <w:rsid w:val="007D3826"/>
    <w:rsid w:val="007D5A8E"/>
    <w:rsid w:val="007E69EA"/>
    <w:rsid w:val="007F22B4"/>
    <w:rsid w:val="007F74AF"/>
    <w:rsid w:val="00813BB6"/>
    <w:rsid w:val="00816459"/>
    <w:rsid w:val="008235C9"/>
    <w:rsid w:val="00823CAD"/>
    <w:rsid w:val="00824B92"/>
    <w:rsid w:val="008309D7"/>
    <w:rsid w:val="00844B1A"/>
    <w:rsid w:val="00844DFD"/>
    <w:rsid w:val="008639C0"/>
    <w:rsid w:val="00863AE2"/>
    <w:rsid w:val="0086608F"/>
    <w:rsid w:val="00872C8E"/>
    <w:rsid w:val="008737E7"/>
    <w:rsid w:val="00874B3F"/>
    <w:rsid w:val="008944AA"/>
    <w:rsid w:val="008B0380"/>
    <w:rsid w:val="008B0CCA"/>
    <w:rsid w:val="008B23C7"/>
    <w:rsid w:val="008B3E42"/>
    <w:rsid w:val="008C5FCA"/>
    <w:rsid w:val="008C74F4"/>
    <w:rsid w:val="008D445F"/>
    <w:rsid w:val="008E124E"/>
    <w:rsid w:val="008E14B0"/>
    <w:rsid w:val="008E7FF5"/>
    <w:rsid w:val="008F1008"/>
    <w:rsid w:val="008F744D"/>
    <w:rsid w:val="009038ED"/>
    <w:rsid w:val="009058BE"/>
    <w:rsid w:val="00907FBC"/>
    <w:rsid w:val="0091359B"/>
    <w:rsid w:val="00914FB5"/>
    <w:rsid w:val="00922D5E"/>
    <w:rsid w:val="009311D3"/>
    <w:rsid w:val="00933E81"/>
    <w:rsid w:val="00943935"/>
    <w:rsid w:val="0094691E"/>
    <w:rsid w:val="00953A55"/>
    <w:rsid w:val="00953C89"/>
    <w:rsid w:val="00960236"/>
    <w:rsid w:val="00961ADC"/>
    <w:rsid w:val="009840DE"/>
    <w:rsid w:val="00990242"/>
    <w:rsid w:val="0099186C"/>
    <w:rsid w:val="009A41DD"/>
    <w:rsid w:val="009A4A7B"/>
    <w:rsid w:val="009A6121"/>
    <w:rsid w:val="009B3498"/>
    <w:rsid w:val="009C0801"/>
    <w:rsid w:val="009D1B06"/>
    <w:rsid w:val="009D1E8D"/>
    <w:rsid w:val="009D3271"/>
    <w:rsid w:val="009D447D"/>
    <w:rsid w:val="009D5C4B"/>
    <w:rsid w:val="009E512E"/>
    <w:rsid w:val="009E6904"/>
    <w:rsid w:val="009F3ECA"/>
    <w:rsid w:val="00A10DD0"/>
    <w:rsid w:val="00A2524C"/>
    <w:rsid w:val="00A3459D"/>
    <w:rsid w:val="00A4605A"/>
    <w:rsid w:val="00A60A33"/>
    <w:rsid w:val="00A941C2"/>
    <w:rsid w:val="00A96CAA"/>
    <w:rsid w:val="00AA151E"/>
    <w:rsid w:val="00AA2D0A"/>
    <w:rsid w:val="00AA4486"/>
    <w:rsid w:val="00AB3048"/>
    <w:rsid w:val="00AC7381"/>
    <w:rsid w:val="00AC7E66"/>
    <w:rsid w:val="00AD542C"/>
    <w:rsid w:val="00AE13C3"/>
    <w:rsid w:val="00AE290F"/>
    <w:rsid w:val="00AF64AF"/>
    <w:rsid w:val="00B0499D"/>
    <w:rsid w:val="00B05025"/>
    <w:rsid w:val="00B070D0"/>
    <w:rsid w:val="00B07844"/>
    <w:rsid w:val="00B10CCF"/>
    <w:rsid w:val="00B14F7A"/>
    <w:rsid w:val="00B22D9C"/>
    <w:rsid w:val="00B24A11"/>
    <w:rsid w:val="00B277A9"/>
    <w:rsid w:val="00B3510D"/>
    <w:rsid w:val="00B43FF5"/>
    <w:rsid w:val="00B4648C"/>
    <w:rsid w:val="00B46924"/>
    <w:rsid w:val="00B50048"/>
    <w:rsid w:val="00B57D92"/>
    <w:rsid w:val="00B6347A"/>
    <w:rsid w:val="00B70DD6"/>
    <w:rsid w:val="00B81F51"/>
    <w:rsid w:val="00B90DD4"/>
    <w:rsid w:val="00B96219"/>
    <w:rsid w:val="00BA5875"/>
    <w:rsid w:val="00BA6928"/>
    <w:rsid w:val="00BB26F7"/>
    <w:rsid w:val="00BB65CC"/>
    <w:rsid w:val="00BC2380"/>
    <w:rsid w:val="00BD3178"/>
    <w:rsid w:val="00BE6021"/>
    <w:rsid w:val="00BE62EE"/>
    <w:rsid w:val="00BF249E"/>
    <w:rsid w:val="00BF5DE4"/>
    <w:rsid w:val="00C034FD"/>
    <w:rsid w:val="00C10A45"/>
    <w:rsid w:val="00C131A7"/>
    <w:rsid w:val="00C14370"/>
    <w:rsid w:val="00C161F7"/>
    <w:rsid w:val="00C2456D"/>
    <w:rsid w:val="00C24B16"/>
    <w:rsid w:val="00C26A5F"/>
    <w:rsid w:val="00C313E5"/>
    <w:rsid w:val="00C31A06"/>
    <w:rsid w:val="00C379D7"/>
    <w:rsid w:val="00C4223A"/>
    <w:rsid w:val="00C436A3"/>
    <w:rsid w:val="00C47999"/>
    <w:rsid w:val="00C65667"/>
    <w:rsid w:val="00C67329"/>
    <w:rsid w:val="00C679BE"/>
    <w:rsid w:val="00C77F95"/>
    <w:rsid w:val="00C84B29"/>
    <w:rsid w:val="00C95536"/>
    <w:rsid w:val="00C95545"/>
    <w:rsid w:val="00C97203"/>
    <w:rsid w:val="00CA0558"/>
    <w:rsid w:val="00CB7C14"/>
    <w:rsid w:val="00CC48BC"/>
    <w:rsid w:val="00CC5355"/>
    <w:rsid w:val="00CD2E2D"/>
    <w:rsid w:val="00CD536C"/>
    <w:rsid w:val="00CE3390"/>
    <w:rsid w:val="00CE64F1"/>
    <w:rsid w:val="00CF70EF"/>
    <w:rsid w:val="00D03670"/>
    <w:rsid w:val="00D1179D"/>
    <w:rsid w:val="00D1298F"/>
    <w:rsid w:val="00D14E5B"/>
    <w:rsid w:val="00D21AC0"/>
    <w:rsid w:val="00D252DE"/>
    <w:rsid w:val="00D27AF5"/>
    <w:rsid w:val="00D36909"/>
    <w:rsid w:val="00D372B8"/>
    <w:rsid w:val="00D44A91"/>
    <w:rsid w:val="00D47686"/>
    <w:rsid w:val="00D47A69"/>
    <w:rsid w:val="00D5250B"/>
    <w:rsid w:val="00D53320"/>
    <w:rsid w:val="00D54061"/>
    <w:rsid w:val="00D64137"/>
    <w:rsid w:val="00D740C6"/>
    <w:rsid w:val="00D84032"/>
    <w:rsid w:val="00D87DC5"/>
    <w:rsid w:val="00D928F4"/>
    <w:rsid w:val="00D94CA3"/>
    <w:rsid w:val="00D95E39"/>
    <w:rsid w:val="00DA150F"/>
    <w:rsid w:val="00DA4BF6"/>
    <w:rsid w:val="00DA4C31"/>
    <w:rsid w:val="00DB6380"/>
    <w:rsid w:val="00DD3E39"/>
    <w:rsid w:val="00DD7527"/>
    <w:rsid w:val="00DE238E"/>
    <w:rsid w:val="00DE653C"/>
    <w:rsid w:val="00DE72F3"/>
    <w:rsid w:val="00DF6443"/>
    <w:rsid w:val="00E06EC8"/>
    <w:rsid w:val="00E074FF"/>
    <w:rsid w:val="00E07F6E"/>
    <w:rsid w:val="00E126B7"/>
    <w:rsid w:val="00E1695C"/>
    <w:rsid w:val="00E261ED"/>
    <w:rsid w:val="00E30EDE"/>
    <w:rsid w:val="00E3311C"/>
    <w:rsid w:val="00E40D5D"/>
    <w:rsid w:val="00E420DB"/>
    <w:rsid w:val="00E52646"/>
    <w:rsid w:val="00E60BA5"/>
    <w:rsid w:val="00E6504D"/>
    <w:rsid w:val="00E65870"/>
    <w:rsid w:val="00E74EFC"/>
    <w:rsid w:val="00E84152"/>
    <w:rsid w:val="00E8787B"/>
    <w:rsid w:val="00E87E04"/>
    <w:rsid w:val="00E9243E"/>
    <w:rsid w:val="00E93C3C"/>
    <w:rsid w:val="00EA3777"/>
    <w:rsid w:val="00EA37F2"/>
    <w:rsid w:val="00EB20FF"/>
    <w:rsid w:val="00EB294F"/>
    <w:rsid w:val="00EC197C"/>
    <w:rsid w:val="00EC273E"/>
    <w:rsid w:val="00EC5D1D"/>
    <w:rsid w:val="00ED0FF0"/>
    <w:rsid w:val="00EE18DD"/>
    <w:rsid w:val="00EE3ABA"/>
    <w:rsid w:val="00EE4B8B"/>
    <w:rsid w:val="00EE51B1"/>
    <w:rsid w:val="00EF187D"/>
    <w:rsid w:val="00EF24AE"/>
    <w:rsid w:val="00F0016C"/>
    <w:rsid w:val="00F01AAD"/>
    <w:rsid w:val="00F02708"/>
    <w:rsid w:val="00F07F93"/>
    <w:rsid w:val="00F16D0A"/>
    <w:rsid w:val="00F17577"/>
    <w:rsid w:val="00F21267"/>
    <w:rsid w:val="00F319E5"/>
    <w:rsid w:val="00F31CE5"/>
    <w:rsid w:val="00F32C03"/>
    <w:rsid w:val="00F33780"/>
    <w:rsid w:val="00F348D8"/>
    <w:rsid w:val="00F36031"/>
    <w:rsid w:val="00F36ECC"/>
    <w:rsid w:val="00F45DF2"/>
    <w:rsid w:val="00F47D19"/>
    <w:rsid w:val="00F544D9"/>
    <w:rsid w:val="00F610A9"/>
    <w:rsid w:val="00F70626"/>
    <w:rsid w:val="00F76D54"/>
    <w:rsid w:val="00F82436"/>
    <w:rsid w:val="00F82B35"/>
    <w:rsid w:val="00F85D01"/>
    <w:rsid w:val="00F92679"/>
    <w:rsid w:val="00FA112C"/>
    <w:rsid w:val="00FB55BB"/>
    <w:rsid w:val="00FC292C"/>
    <w:rsid w:val="00FC3AD9"/>
    <w:rsid w:val="00FC6C9C"/>
    <w:rsid w:val="00FD723A"/>
    <w:rsid w:val="00FE368E"/>
    <w:rsid w:val="00FE58F3"/>
    <w:rsid w:val="00FE6935"/>
    <w:rsid w:val="00FF041A"/>
    <w:rsid w:val="00FF13FB"/>
    <w:rsid w:val="010004E2"/>
    <w:rsid w:val="01150791"/>
    <w:rsid w:val="01444E57"/>
    <w:rsid w:val="01B031DD"/>
    <w:rsid w:val="0271262F"/>
    <w:rsid w:val="029D325A"/>
    <w:rsid w:val="02D2656E"/>
    <w:rsid w:val="02E432F0"/>
    <w:rsid w:val="02F74FF6"/>
    <w:rsid w:val="03C52CFF"/>
    <w:rsid w:val="05010920"/>
    <w:rsid w:val="05665AFA"/>
    <w:rsid w:val="05C210AD"/>
    <w:rsid w:val="05DD2267"/>
    <w:rsid w:val="061B723A"/>
    <w:rsid w:val="06542004"/>
    <w:rsid w:val="06A06756"/>
    <w:rsid w:val="06AF037C"/>
    <w:rsid w:val="06B94A26"/>
    <w:rsid w:val="06F417CF"/>
    <w:rsid w:val="091B6398"/>
    <w:rsid w:val="09795857"/>
    <w:rsid w:val="0B906365"/>
    <w:rsid w:val="0B953564"/>
    <w:rsid w:val="0CE235C2"/>
    <w:rsid w:val="0D150FA9"/>
    <w:rsid w:val="0D20037A"/>
    <w:rsid w:val="0D281565"/>
    <w:rsid w:val="0D500D5E"/>
    <w:rsid w:val="0D7575E2"/>
    <w:rsid w:val="0E434E38"/>
    <w:rsid w:val="0E990FFF"/>
    <w:rsid w:val="0F425E27"/>
    <w:rsid w:val="0F805BB3"/>
    <w:rsid w:val="0FB7239F"/>
    <w:rsid w:val="0FB924C3"/>
    <w:rsid w:val="0FBD165E"/>
    <w:rsid w:val="102F47E4"/>
    <w:rsid w:val="10BA0CDD"/>
    <w:rsid w:val="10E80E7B"/>
    <w:rsid w:val="112D1108"/>
    <w:rsid w:val="120111ED"/>
    <w:rsid w:val="128956B7"/>
    <w:rsid w:val="12B6412A"/>
    <w:rsid w:val="12E932BA"/>
    <w:rsid w:val="13302A85"/>
    <w:rsid w:val="14635D20"/>
    <w:rsid w:val="14692F06"/>
    <w:rsid w:val="148E5F78"/>
    <w:rsid w:val="155552D8"/>
    <w:rsid w:val="166326A9"/>
    <w:rsid w:val="16896088"/>
    <w:rsid w:val="16ED1F73"/>
    <w:rsid w:val="1783163E"/>
    <w:rsid w:val="178E628A"/>
    <w:rsid w:val="18F17177"/>
    <w:rsid w:val="1A01022B"/>
    <w:rsid w:val="1B262F86"/>
    <w:rsid w:val="1B2961EF"/>
    <w:rsid w:val="1D5D716E"/>
    <w:rsid w:val="1DA4473E"/>
    <w:rsid w:val="1DCD77AE"/>
    <w:rsid w:val="1DCF03F4"/>
    <w:rsid w:val="1DE765A7"/>
    <w:rsid w:val="1DEB2DF6"/>
    <w:rsid w:val="1DF1478C"/>
    <w:rsid w:val="1DFC5659"/>
    <w:rsid w:val="1E9C5B42"/>
    <w:rsid w:val="1EA46699"/>
    <w:rsid w:val="1EDC532B"/>
    <w:rsid w:val="1F8374A1"/>
    <w:rsid w:val="1FEE2AC1"/>
    <w:rsid w:val="20254E3D"/>
    <w:rsid w:val="20B623BA"/>
    <w:rsid w:val="20D361AE"/>
    <w:rsid w:val="21140285"/>
    <w:rsid w:val="218B65B8"/>
    <w:rsid w:val="219E0DC4"/>
    <w:rsid w:val="21A20BAB"/>
    <w:rsid w:val="22615ED6"/>
    <w:rsid w:val="238D2632"/>
    <w:rsid w:val="23DD2BE2"/>
    <w:rsid w:val="24635E95"/>
    <w:rsid w:val="24C21142"/>
    <w:rsid w:val="24E252D3"/>
    <w:rsid w:val="26135BB2"/>
    <w:rsid w:val="26283FB5"/>
    <w:rsid w:val="26477D10"/>
    <w:rsid w:val="269E252D"/>
    <w:rsid w:val="26BB59F0"/>
    <w:rsid w:val="27042B13"/>
    <w:rsid w:val="278C429C"/>
    <w:rsid w:val="27AB7BE0"/>
    <w:rsid w:val="27D96254"/>
    <w:rsid w:val="28D07C5A"/>
    <w:rsid w:val="29A301F9"/>
    <w:rsid w:val="2AB03A13"/>
    <w:rsid w:val="2AD25A69"/>
    <w:rsid w:val="2AEC38C7"/>
    <w:rsid w:val="2B2325B3"/>
    <w:rsid w:val="2B2C45FD"/>
    <w:rsid w:val="2C48659F"/>
    <w:rsid w:val="2C645E65"/>
    <w:rsid w:val="2D1369FE"/>
    <w:rsid w:val="2D3912FD"/>
    <w:rsid w:val="2E9A5787"/>
    <w:rsid w:val="2E9B4853"/>
    <w:rsid w:val="2EB97A70"/>
    <w:rsid w:val="2EDF7FEF"/>
    <w:rsid w:val="2FB60E31"/>
    <w:rsid w:val="323F328B"/>
    <w:rsid w:val="325922B6"/>
    <w:rsid w:val="334A7763"/>
    <w:rsid w:val="339408B1"/>
    <w:rsid w:val="33E0504E"/>
    <w:rsid w:val="33F87281"/>
    <w:rsid w:val="344520D1"/>
    <w:rsid w:val="34B519A0"/>
    <w:rsid w:val="35623502"/>
    <w:rsid w:val="36593393"/>
    <w:rsid w:val="36596278"/>
    <w:rsid w:val="36E108D0"/>
    <w:rsid w:val="370D2DDE"/>
    <w:rsid w:val="38145347"/>
    <w:rsid w:val="38BE5C13"/>
    <w:rsid w:val="399428A6"/>
    <w:rsid w:val="3B185084"/>
    <w:rsid w:val="3B6839AF"/>
    <w:rsid w:val="3B7F48F5"/>
    <w:rsid w:val="3B9327BD"/>
    <w:rsid w:val="3C16717B"/>
    <w:rsid w:val="3C223CE7"/>
    <w:rsid w:val="3C2739B5"/>
    <w:rsid w:val="3C882035"/>
    <w:rsid w:val="3C8C415D"/>
    <w:rsid w:val="3C9E05CE"/>
    <w:rsid w:val="3D801355"/>
    <w:rsid w:val="3E7F0378"/>
    <w:rsid w:val="3EB9067B"/>
    <w:rsid w:val="3EFE49C9"/>
    <w:rsid w:val="3F064D04"/>
    <w:rsid w:val="40C7774D"/>
    <w:rsid w:val="413B3F95"/>
    <w:rsid w:val="415D0802"/>
    <w:rsid w:val="417F04EB"/>
    <w:rsid w:val="422F0C69"/>
    <w:rsid w:val="42CE78B6"/>
    <w:rsid w:val="42F763A9"/>
    <w:rsid w:val="43692CFC"/>
    <w:rsid w:val="437C345D"/>
    <w:rsid w:val="43BD07B0"/>
    <w:rsid w:val="44280214"/>
    <w:rsid w:val="444F6B35"/>
    <w:rsid w:val="448D46E0"/>
    <w:rsid w:val="44C6589F"/>
    <w:rsid w:val="451A6EEA"/>
    <w:rsid w:val="45B0301D"/>
    <w:rsid w:val="45C32712"/>
    <w:rsid w:val="46167CE7"/>
    <w:rsid w:val="46331959"/>
    <w:rsid w:val="47F1306F"/>
    <w:rsid w:val="48272AF9"/>
    <w:rsid w:val="4885093D"/>
    <w:rsid w:val="492444D5"/>
    <w:rsid w:val="493C540A"/>
    <w:rsid w:val="496B2EB9"/>
    <w:rsid w:val="49913CBF"/>
    <w:rsid w:val="49B41657"/>
    <w:rsid w:val="4A1C604D"/>
    <w:rsid w:val="4A323098"/>
    <w:rsid w:val="4AC723CF"/>
    <w:rsid w:val="4B2D2035"/>
    <w:rsid w:val="4C585924"/>
    <w:rsid w:val="4CDB2755"/>
    <w:rsid w:val="4D6F1430"/>
    <w:rsid w:val="4DA53B29"/>
    <w:rsid w:val="4E241889"/>
    <w:rsid w:val="4E55147F"/>
    <w:rsid w:val="4E732CA5"/>
    <w:rsid w:val="4EC102B9"/>
    <w:rsid w:val="4ED029B7"/>
    <w:rsid w:val="4EFC0C55"/>
    <w:rsid w:val="4F2E40F6"/>
    <w:rsid w:val="4F4C4CC2"/>
    <w:rsid w:val="4FA7295A"/>
    <w:rsid w:val="503F4238"/>
    <w:rsid w:val="505F6BAB"/>
    <w:rsid w:val="50E076EC"/>
    <w:rsid w:val="51071EFE"/>
    <w:rsid w:val="51177CAD"/>
    <w:rsid w:val="51685555"/>
    <w:rsid w:val="52A72080"/>
    <w:rsid w:val="52B33F2E"/>
    <w:rsid w:val="52C335CE"/>
    <w:rsid w:val="53040243"/>
    <w:rsid w:val="533D5A7E"/>
    <w:rsid w:val="53B730B8"/>
    <w:rsid w:val="53C02167"/>
    <w:rsid w:val="53CF48A7"/>
    <w:rsid w:val="53EE5DC4"/>
    <w:rsid w:val="53F43A13"/>
    <w:rsid w:val="5480192E"/>
    <w:rsid w:val="54E2614F"/>
    <w:rsid w:val="555F1184"/>
    <w:rsid w:val="55AD4B82"/>
    <w:rsid w:val="561A208A"/>
    <w:rsid w:val="56325C7A"/>
    <w:rsid w:val="564057CE"/>
    <w:rsid w:val="573E0128"/>
    <w:rsid w:val="57A43811"/>
    <w:rsid w:val="580C56B4"/>
    <w:rsid w:val="59215148"/>
    <w:rsid w:val="59AA5786"/>
    <w:rsid w:val="5A7445FC"/>
    <w:rsid w:val="5A7D1C84"/>
    <w:rsid w:val="5A9B1293"/>
    <w:rsid w:val="5B603158"/>
    <w:rsid w:val="5BB02CFF"/>
    <w:rsid w:val="5BB11B74"/>
    <w:rsid w:val="5BFB57B2"/>
    <w:rsid w:val="5C1E7AA5"/>
    <w:rsid w:val="5D1361A0"/>
    <w:rsid w:val="5DAD34DD"/>
    <w:rsid w:val="5E2E752C"/>
    <w:rsid w:val="5EBD21A9"/>
    <w:rsid w:val="5F230BC9"/>
    <w:rsid w:val="5F82027F"/>
    <w:rsid w:val="5FEF34A7"/>
    <w:rsid w:val="60D90245"/>
    <w:rsid w:val="60FB6B26"/>
    <w:rsid w:val="617F432A"/>
    <w:rsid w:val="61973664"/>
    <w:rsid w:val="61D15579"/>
    <w:rsid w:val="61DC65F3"/>
    <w:rsid w:val="623156D8"/>
    <w:rsid w:val="626F542A"/>
    <w:rsid w:val="62AA7653"/>
    <w:rsid w:val="62EE4B8B"/>
    <w:rsid w:val="62F45D30"/>
    <w:rsid w:val="62FA0FE9"/>
    <w:rsid w:val="63024B0B"/>
    <w:rsid w:val="63322D86"/>
    <w:rsid w:val="634073B9"/>
    <w:rsid w:val="63410438"/>
    <w:rsid w:val="639D1408"/>
    <w:rsid w:val="63C65002"/>
    <w:rsid w:val="641404C6"/>
    <w:rsid w:val="64B37E37"/>
    <w:rsid w:val="64B816D3"/>
    <w:rsid w:val="6564392F"/>
    <w:rsid w:val="656932C2"/>
    <w:rsid w:val="657D0DF1"/>
    <w:rsid w:val="65BA3EBE"/>
    <w:rsid w:val="65CF5BFB"/>
    <w:rsid w:val="66BE4C34"/>
    <w:rsid w:val="69084A8F"/>
    <w:rsid w:val="69410B62"/>
    <w:rsid w:val="6AAE78C0"/>
    <w:rsid w:val="6B0C5BC4"/>
    <w:rsid w:val="6B3B4960"/>
    <w:rsid w:val="6C3131E4"/>
    <w:rsid w:val="6C6B1C60"/>
    <w:rsid w:val="6D655F79"/>
    <w:rsid w:val="6DAA3E8D"/>
    <w:rsid w:val="6DE1228A"/>
    <w:rsid w:val="6DF17342"/>
    <w:rsid w:val="6E253B49"/>
    <w:rsid w:val="6E3B7791"/>
    <w:rsid w:val="6E9B098B"/>
    <w:rsid w:val="6FB758DA"/>
    <w:rsid w:val="6FE85F12"/>
    <w:rsid w:val="70087B5A"/>
    <w:rsid w:val="70EE3D8D"/>
    <w:rsid w:val="71D065E1"/>
    <w:rsid w:val="71EC12BC"/>
    <w:rsid w:val="724818CB"/>
    <w:rsid w:val="7266063B"/>
    <w:rsid w:val="72AC3873"/>
    <w:rsid w:val="730C7B3A"/>
    <w:rsid w:val="730F5887"/>
    <w:rsid w:val="73864211"/>
    <w:rsid w:val="739E17E4"/>
    <w:rsid w:val="75624B68"/>
    <w:rsid w:val="7578751B"/>
    <w:rsid w:val="75CC3EEE"/>
    <w:rsid w:val="76212A95"/>
    <w:rsid w:val="76AA651F"/>
    <w:rsid w:val="76BF664F"/>
    <w:rsid w:val="77021149"/>
    <w:rsid w:val="77453D74"/>
    <w:rsid w:val="77FC60DD"/>
    <w:rsid w:val="788D7EE5"/>
    <w:rsid w:val="78EC0EE8"/>
    <w:rsid w:val="79003911"/>
    <w:rsid w:val="79311A28"/>
    <w:rsid w:val="7A0139ED"/>
    <w:rsid w:val="7A1A318D"/>
    <w:rsid w:val="7A88301C"/>
    <w:rsid w:val="7AE51CE4"/>
    <w:rsid w:val="7AE53E4E"/>
    <w:rsid w:val="7B0F257F"/>
    <w:rsid w:val="7B171D08"/>
    <w:rsid w:val="7C153FCB"/>
    <w:rsid w:val="7C245103"/>
    <w:rsid w:val="7CDE2E7E"/>
    <w:rsid w:val="7D2C4691"/>
    <w:rsid w:val="7E754DAE"/>
    <w:rsid w:val="7E96665D"/>
    <w:rsid w:val="7F881689"/>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2">
    <w:name w:val="Body Text"/>
    <w:basedOn w:val="1"/>
    <w:qFormat/>
    <w:uiPriority w:val="0"/>
    <w:rPr>
      <w:sz w:val="28"/>
    </w:rPr>
  </w:style>
  <w:style w:type="paragraph" w:styleId="3">
    <w:name w:val="Balloon Text"/>
    <w:basedOn w:val="1"/>
    <w:link w:val="11"/>
    <w:qFormat/>
    <w:uiPriority w:val="0"/>
    <w:rPr>
      <w:sz w:val="18"/>
      <w:szCs w:val="18"/>
    </w:rPr>
  </w:style>
  <w:style w:type="paragraph" w:styleId="4">
    <w:name w:val="footer"/>
    <w:basedOn w:val="1"/>
    <w:link w:val="10"/>
    <w:qFormat/>
    <w:uiPriority w:val="0"/>
    <w:pPr>
      <w:tabs>
        <w:tab w:val="center" w:pos="4153"/>
        <w:tab w:val="right" w:pos="8306"/>
      </w:tabs>
      <w:snapToGrid w:val="0"/>
      <w:jc w:val="left"/>
    </w:pPr>
    <w:rPr>
      <w:sz w:val="18"/>
      <w:szCs w:val="18"/>
    </w:rPr>
  </w:style>
  <w:style w:type="paragraph" w:styleId="5">
    <w:name w:val="header"/>
    <w:basedOn w:val="1"/>
    <w:link w:val="12"/>
    <w:qFormat/>
    <w:uiPriority w:val="0"/>
    <w:pPr>
      <w:pBdr>
        <w:bottom w:val="single" w:color="auto" w:sz="6" w:space="1"/>
      </w:pBdr>
      <w:tabs>
        <w:tab w:val="center" w:pos="4153"/>
        <w:tab w:val="right" w:pos="8306"/>
      </w:tabs>
      <w:snapToGrid w:val="0"/>
      <w:jc w:val="center"/>
    </w:pPr>
    <w:rPr>
      <w:sz w:val="18"/>
      <w:szCs w:val="18"/>
    </w:rPr>
  </w:style>
  <w:style w:type="paragraph" w:customStyle="1" w:styleId="8">
    <w:name w:val=" Char"/>
    <w:basedOn w:val="1"/>
    <w:uiPriority w:val="0"/>
    <w:pPr>
      <w:tabs>
        <w:tab w:val="left" w:pos="432"/>
      </w:tabs>
      <w:ind w:left="432" w:hanging="432"/>
    </w:pPr>
  </w:style>
  <w:style w:type="paragraph" w:styleId="9">
    <w:name w:val="List Paragraph"/>
    <w:basedOn w:val="1"/>
    <w:qFormat/>
    <w:uiPriority w:val="34"/>
    <w:pPr>
      <w:ind w:firstLine="420" w:firstLineChars="200"/>
    </w:pPr>
  </w:style>
  <w:style w:type="character" w:customStyle="1" w:styleId="10">
    <w:name w:val="页脚 Char"/>
    <w:link w:val="4"/>
    <w:uiPriority w:val="0"/>
    <w:rPr>
      <w:kern w:val="2"/>
      <w:sz w:val="18"/>
      <w:szCs w:val="18"/>
    </w:rPr>
  </w:style>
  <w:style w:type="character" w:customStyle="1" w:styleId="11">
    <w:name w:val="批注框文本 字符"/>
    <w:link w:val="3"/>
    <w:qFormat/>
    <w:uiPriority w:val="0"/>
    <w:rPr>
      <w:kern w:val="2"/>
      <w:sz w:val="18"/>
      <w:szCs w:val="18"/>
    </w:rPr>
  </w:style>
  <w:style w:type="character" w:customStyle="1" w:styleId="12">
    <w:name w:val="页眉 Char"/>
    <w:link w:val="5"/>
    <w:uiPriority w:val="0"/>
    <w:rPr>
      <w:kern w:val="2"/>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MC SYSTEM</Company>
  <Pages>2</Pages>
  <Words>615</Words>
  <Characters>3511</Characters>
  <Lines>29</Lines>
  <Paragraphs>8</Paragraphs>
  <TotalTime>0</TotalTime>
  <ScaleCrop>false</ScaleCrop>
  <LinksUpToDate>false</LinksUpToDate>
  <CharactersWithSpaces>4118</CharactersWithSpaces>
  <Application>WPS Office_11.8.6.9023_F1E327BC-269C-435d-A152-05C5408002CA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2021-12-01T02:30:00Z</dcterms:created>
  <dc:creator>MC SYSTEM</dc:creator>
  <cp:lastModifiedBy>景军</cp:lastModifiedBy>
  <cp:lastPrinted>2022-12-20T02:41:00Z</cp:lastPrinted>
  <dcterms:modified xsi:type="dcterms:W3CDTF">2024-12-11T01:46:20Z</dcterms:modified>
  <dc:title>四川省事业单位工作人员年度考核登记表</dc:title>
  <cp:revision>296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2052-11.8.6.9023</vt:lpwstr>
  </property>
</Properties>
</file>