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HỌC VIỆN CÔNG NGHỆ BƯU CHÍNH VIỄN THÔNG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798320" cy="173736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PHÁT TRIỂN PHẦN MỀM HƯỚNG DỊCH VỤ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Phân tích và mô hình hóa dịch vụ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ab/>
        <w:t xml:space="preserve">Nhóm lớp: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ab/>
        <w:t xml:space="preserve">Nhóm bài tập: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ab/>
        <w:t xml:space="preserve">Thành viên: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Đỗ Hoàng Long – B18DCCN341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Nguyễn Thanh Tùng- B18DCCN583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Vũ Bảo Long - B18DCCN366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Mô hình hóa dịch vụ Đăng ký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thuê Oxy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Quy trình nghiệp vụ:</w:t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Decompose Business Process (into Granular Actions) - Phân rã quy trình nghiệp vụ thành các hành động chi tiết.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Filter Out Unsuitable Actions - Lọc ra các hành động không phù hợp.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Define Entity Service Candidates - Xác định các ứng viên Entity Service.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4: Identify Process-Specific Logic - Xác định logic cụ thể của quy trình.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5: Identify Resources - Xác định các tài nguyên.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6: Associate Service Capabilities with Resources and Methods - Liên kết các khả năng dịch vụ với các tài nguyên và phương thức.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7: Apply Service-Orientation - Áp dụng hướng dịch vụ.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8: Identify Service Composition Candidates - Xác định các ứng viên thành phần dịch vụ.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9: Analyze Processing Requirements - Phân tích các yêu cầu xử lý.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10: Define Utility Service Candidates (and Associate Resources and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Methods) - Xác định các ứng viên Utility Service (và các tài nguyên và phương thức liên quan).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11: Define Microservice Candidates (and Associate Resources and Methods) - Xác định các ứng viên Microservice (và các tài nguyên và phương thức liên quan).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12: Apply Service-Orientation - Áp dụng hướng dịch vụ lần 2.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13: Revise Candidate Service Compositions - Sửa đổi các thành phần của ứng viên dịch vụ.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14: Revise Resource Definitions and Capability Candidate Grouping - Sửa đổi định nghĩa các tài nguyên và phân nhóm ứng viên khả năng.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Hợp đồng dịch vụ BenhVien(Entity)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Hợp đồng dịch vụ Oxy(Entity)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Hợp đồng dịch vụ Đăng ký thuê Oxy (Entity)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Hợp đồng dịch vụ Notification (Utility)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rtl w:val="0"/>
        </w:rPr>
        <w:t xml:space="preserve">Mô hình hóa dịch vụ Đăng ký thuê 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spacing w:after="240" w:before="240" w:lineRule="auto"/>
        <w:ind w:left="720" w:hanging="360"/>
        <w:jc w:val="both"/>
        <w:rPr>
          <w:color w:val="252525"/>
        </w:rPr>
      </w:pPr>
      <w:bookmarkStart w:colFirst="0" w:colLast="0" w:name="_heading=h.30j0zll" w:id="1"/>
      <w:bookmarkEnd w:id="1"/>
      <w:r w:rsidDel="00000000" w:rsidR="00000000" w:rsidRPr="00000000">
        <w:rPr>
          <w:color w:val="252525"/>
          <w:rtl w:val="0"/>
        </w:rPr>
        <w:t xml:space="preserve">Quy trình nghiệp vụ: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5775" cy="72390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77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color w:val="252525"/>
          <w:rtl w:val="0"/>
        </w:rPr>
        <w:t xml:space="preserve">Step 1: Decompose Business Process (into Granular Actions) - Phân rã quy trình nghiệp vụ thành các hành động chi tiết.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Quy trình nghiệp vụ Đăng ký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thuê Oxy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sẽ được phân rã thành các hành động sau: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Khởi tạo đơn đăng ký cung cấp oxy.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Lấy thông tin bệnh viện có trong csdl.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Kiểm tra bệnh viện có tồn tại trong csdl.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Nếu bệnh viện chưa từng có trong csdl, kết thúc tiến trình.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Lấy số lượng oxy còn trong kho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Kiểm tra số lượng bình oxy còn trong kho có đủ cung cấp cho bệnh viện.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Nếu không thông báo số lượng bình oxy không đủ để cung cấp, kết thúc tiến trình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Bệnh viện chọn ngày để vận chuyển bình oxy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Gửi thông báo tạo đơn cung cấp oxy thành công.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 Lưu thông tin cung cấp oxy vào CSDL.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rPr>
          <w:color w:val="252525"/>
        </w:rPr>
      </w:pPr>
      <w:bookmarkStart w:colFirst="0" w:colLast="0" w:name="_heading=h.3znysh7" w:id="3"/>
      <w:bookmarkEnd w:id="3"/>
      <w:r w:rsidDel="00000000" w:rsidR="00000000" w:rsidRPr="00000000">
        <w:rPr>
          <w:color w:val="252525"/>
          <w:rtl w:val="0"/>
        </w:rPr>
        <w:t xml:space="preserve">Step 2: Filter Out Unsuitable Actions - Lọc ra các hành động không phù hợp.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Khởi tạo đơn đăng ký cung cấp oxy.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Lấy thông tin bệnh viện có trong csdl.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Kiểm tra bệnh viện có tồn tại trong csdl.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Nếu bệnh viện chưa từng có trong csdl, kết thúc tiến trình.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Lấy số lượng oxy còn trong kho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Kiểm tra số lượng bình oxy còn trong kho có đủ cung cấp cho bệnh viện.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Nếu không thông báo số lượng bình oxy không đủ để cung cấp, kết thúc tiến trình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0"/>
        </w:rPr>
        <w:t xml:space="preserve">Bệnh viện chọn ngày để vận chuyển bình oxy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Gửi thông báo tạo đơn cung cấp oxy thành công.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 Lưu thông tin cung cấp oxy vào CSDL.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252525"/>
          <w:rtl w:val="0"/>
        </w:rPr>
        <w:t xml:space="preserve">Step 3: Define Entity Service Candidates - Xác định các ứng viên Entity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before="240" w:line="240" w:lineRule="auto"/>
        <w:ind w:left="720" w:hanging="360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Phân loại các hành động bất khả tri (các hành động không bất khả tri sẽ được in đậm):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Khởi tạo đơn đăng ký cung cấp oxy.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Lấy thông tin bệnh viện có trong csdl.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Kiểm tra bệnh viện có tồn tại trong csdl.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Nếu bệnh viện chưa từng có trong csdl, kết thúc tiến trình.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Lấy số lượng oxy còn trong kho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Kiểm tra số lượng bình oxy còn trong kho có đủ cung cấp cho bệnh viện.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8"/>
          <w:szCs w:val="28"/>
          <w:rtl w:val="0"/>
        </w:rPr>
        <w:t xml:space="preserve">Nếu không thông báo số lượng bình oxy không đủ để cung cấp, kết thúc tiến trình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Gửi thông báo tạo đơn cung cấp oxy thành công.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Lưu thông tin cung cấp oxy vào CSDL.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Các ứng viên entity service: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BenhVien: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getBenhVien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Oxy: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getOxy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    -     DonDangKy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     -     addDonDangKy </w:t>
        <w:tab/>
        <w:t xml:space="preserve"> </w:t>
      </w:r>
    </w:p>
    <w:p w:rsidR="00000000" w:rsidDel="00000000" w:rsidP="00000000" w:rsidRDefault="00000000" w:rsidRPr="00000000" w14:paraId="0000005D">
      <w:pPr>
        <w:pStyle w:val="Heading3"/>
        <w:spacing w:after="240" w:before="240" w:lineRule="auto"/>
        <w:rPr>
          <w:color w:val="000000"/>
          <w:sz w:val="27"/>
          <w:szCs w:val="27"/>
        </w:rPr>
      </w:pPr>
      <w:bookmarkStart w:colFirst="0" w:colLast="0" w:name="_heading=h.3dy6vkm" w:id="5"/>
      <w:bookmarkEnd w:id="5"/>
      <w:r w:rsidDel="00000000" w:rsidR="00000000" w:rsidRPr="00000000">
        <w:rPr>
          <w:color w:val="252525"/>
          <w:rtl w:val="0"/>
        </w:rPr>
        <w:t xml:space="preserve">Step 4: Identify Process-Specific Logic - Xác định logic cụ thể của quy trình.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Task 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DangKy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ThueOxy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 có ứng viên dịch vụ như sau: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DangKy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ThueOxy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61">
      <w:pPr>
        <w:pStyle w:val="Heading3"/>
        <w:spacing w:after="240" w:before="240" w:lineRule="auto"/>
        <w:rPr>
          <w:color w:val="000000"/>
          <w:sz w:val="27"/>
          <w:szCs w:val="27"/>
        </w:rPr>
      </w:pPr>
      <w:bookmarkStart w:colFirst="0" w:colLast="0" w:name="_heading=h.1t3h5sf" w:id="6"/>
      <w:bookmarkEnd w:id="6"/>
      <w:r w:rsidDel="00000000" w:rsidR="00000000" w:rsidRPr="00000000">
        <w:rPr>
          <w:color w:val="252525"/>
          <w:rtl w:val="0"/>
        </w:rPr>
        <w:t xml:space="preserve">Step 5: Identify Resources - Xác định các tài nguyên.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Các tài nguyên: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dangkythueoxy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benhvien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/dondangky/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notify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Bảng ánh xạ các thực thể với tài nguyên:</w:t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1772"/>
        <w:gridCol w:w="7254"/>
        <w:tblGridChange w:id="0">
          <w:tblGrid>
            <w:gridCol w:w="1772"/>
            <w:gridCol w:w="7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5252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5252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8"/>
                <w:szCs w:val="28"/>
                <w:rtl w:val="0"/>
              </w:rPr>
              <w:t xml:space="preserve">BenhVien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5252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8"/>
                <w:szCs w:val="28"/>
                <w:rtl w:val="0"/>
              </w:rPr>
              <w:t xml:space="preserve">benhvien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5252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8"/>
                <w:szCs w:val="28"/>
                <w:rtl w:val="0"/>
              </w:rPr>
              <w:t xml:space="preserve">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8"/>
                <w:szCs w:val="28"/>
                <w:rtl w:val="0"/>
              </w:rPr>
              <w:t xml:space="preserve">/oxy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5252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525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8"/>
                <w:szCs w:val="28"/>
                <w:rtl w:val="0"/>
              </w:rPr>
              <w:t xml:space="preserve">DonDangKy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5252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8"/>
                <w:szCs w:val="28"/>
                <w:rtl w:val="0"/>
              </w:rPr>
              <w:t xml:space="preserve">/dondangky/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240" w:before="240" w:lineRule="auto"/>
        <w:rPr/>
      </w:pPr>
      <w:bookmarkStart w:colFirst="0" w:colLast="0" w:name="_heading=h.4d34og8" w:id="7"/>
      <w:bookmarkEnd w:id="7"/>
      <w:r w:rsidDel="00000000" w:rsidR="00000000" w:rsidRPr="00000000">
        <w:rPr>
          <w:color w:val="252525"/>
          <w:rtl w:val="0"/>
        </w:rPr>
        <w:t xml:space="preserve">Step 6: Associate Service Capabilities with Resources and Methods - Liên kết các khả năng dịch vụ với các tài nguyên và phương thức.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DangK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yThueOxy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Start (POST + 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dangkythueoxy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Benh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Vien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Get Ben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hVien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 (GET + 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benhvien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(GET + 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oxy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DonDangKy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2525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Add DonDangKy(POST + /dondangky/)    </w:t>
        <w:tab/>
      </w:r>
    </w:p>
    <w:p w:rsidR="00000000" w:rsidDel="00000000" w:rsidP="00000000" w:rsidRDefault="00000000" w:rsidRPr="00000000" w14:paraId="0000007B">
      <w:pPr>
        <w:pStyle w:val="Heading3"/>
        <w:spacing w:after="240" w:before="240" w:lineRule="auto"/>
        <w:rPr>
          <w:color w:val="000000"/>
          <w:sz w:val="27"/>
          <w:szCs w:val="27"/>
        </w:rPr>
      </w:pPr>
      <w:bookmarkStart w:colFirst="0" w:colLast="0" w:name="_heading=h.2s8eyo1" w:id="8"/>
      <w:bookmarkEnd w:id="8"/>
      <w:r w:rsidDel="00000000" w:rsidR="00000000" w:rsidRPr="00000000">
        <w:rPr>
          <w:color w:val="ff0000"/>
          <w:rtl w:val="0"/>
        </w:rPr>
        <w:t xml:space="preserve">Step 7: Apply Service-Orientation - Áp dụng hướng dịch vụ.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after="240" w:before="240" w:lineRule="auto"/>
        <w:rPr>
          <w:color w:val="252525"/>
        </w:rPr>
      </w:pPr>
      <w:bookmarkStart w:colFirst="0" w:colLast="0" w:name="_heading=h.17dp8vu" w:id="9"/>
      <w:bookmarkEnd w:id="9"/>
      <w:r w:rsidDel="00000000" w:rsidR="00000000" w:rsidRPr="00000000">
        <w:rPr>
          <w:color w:val="252525"/>
          <w:rtl w:val="0"/>
        </w:rPr>
        <w:t xml:space="preserve">Step 8: Identify Service Composition Candidates - Xác định các ứng viên thành phần dịch vụ.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84797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spacing w:after="240" w:before="240" w:lineRule="auto"/>
        <w:rPr/>
      </w:pPr>
      <w:bookmarkStart w:colFirst="0" w:colLast="0" w:name="_heading=h.3rdcrjn" w:id="10"/>
      <w:bookmarkEnd w:id="10"/>
      <w:r w:rsidDel="00000000" w:rsidR="00000000" w:rsidRPr="00000000">
        <w:rPr>
          <w:color w:val="ff0000"/>
          <w:rtl w:val="0"/>
        </w:rPr>
        <w:t xml:space="preserve">Step 9: Analyze Processing Requirements - Phân tích các yêu cầu xử lý.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240" w:before="240" w:lineRule="auto"/>
        <w:rPr/>
      </w:pPr>
      <w:bookmarkStart w:colFirst="0" w:colLast="0" w:name="_heading=h.26in1rg" w:id="11"/>
      <w:bookmarkEnd w:id="11"/>
      <w:r w:rsidDel="00000000" w:rsidR="00000000" w:rsidRPr="00000000">
        <w:rPr>
          <w:color w:val="252525"/>
          <w:rtl w:val="0"/>
        </w:rPr>
        <w:t xml:space="preserve">Step 10: Define Utility Service Candidates (and Associate Resources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240" w:before="240" w:lineRule="auto"/>
        <w:rPr/>
      </w:pPr>
      <w:bookmarkStart w:colFirst="0" w:colLast="0" w:name="_heading=h.lnxbz9" w:id="12"/>
      <w:bookmarkEnd w:id="12"/>
      <w:r w:rsidDel="00000000" w:rsidR="00000000" w:rsidRPr="00000000">
        <w:rPr>
          <w:color w:val="252525"/>
          <w:rtl w:val="0"/>
        </w:rPr>
        <w:t xml:space="preserve">Methods) - Xác định các ứng viên Utility Service (và các tài nguyên và phương thức liên quan).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Utility service ThongBao: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ThongBao: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sendMessage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Utility service ThongBao với liên kết resource: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ThongBao: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sendMessage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 (POST + /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notify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/)</w:t>
      </w:r>
    </w:p>
    <w:p w:rsidR="00000000" w:rsidDel="00000000" w:rsidP="00000000" w:rsidRDefault="00000000" w:rsidRPr="00000000" w14:paraId="0000008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after="240" w:before="240" w:lineRule="auto"/>
        <w:rPr/>
      </w:pPr>
      <w:bookmarkStart w:colFirst="0" w:colLast="0" w:name="_heading=h.35nkun2" w:id="13"/>
      <w:bookmarkEnd w:id="13"/>
      <w:r w:rsidDel="00000000" w:rsidR="00000000" w:rsidRPr="00000000">
        <w:rPr>
          <w:color w:val="252525"/>
          <w:rtl w:val="0"/>
        </w:rPr>
        <w:t xml:space="preserve">Step 11: Define Microservice Candidates (and Associate Resources and Methods) - Xác định các ứng viên Microservice (và các tài nguyên và phương thức liên quan).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8"/>
          <w:szCs w:val="28"/>
          <w:u w:val="none"/>
          <w:shd w:fill="auto" w:val="clear"/>
          <w:vertAlign w:val="baseline"/>
          <w:rtl w:val="0"/>
        </w:rPr>
        <w:t xml:space="preserve">Không có microservice.</w:t>
      </w:r>
    </w:p>
    <w:p w:rsidR="00000000" w:rsidDel="00000000" w:rsidP="00000000" w:rsidRDefault="00000000" w:rsidRPr="00000000" w14:paraId="0000008B">
      <w:pPr>
        <w:pStyle w:val="Heading3"/>
        <w:spacing w:after="240" w:before="240" w:lineRule="auto"/>
        <w:rPr>
          <w:color w:val="000000"/>
          <w:sz w:val="27"/>
          <w:szCs w:val="27"/>
        </w:rPr>
      </w:pPr>
      <w:bookmarkStart w:colFirst="0" w:colLast="0" w:name="_heading=h.1ksv4uv" w:id="14"/>
      <w:bookmarkEnd w:id="14"/>
      <w:r w:rsidDel="00000000" w:rsidR="00000000" w:rsidRPr="00000000">
        <w:rPr>
          <w:color w:val="ff0000"/>
          <w:rtl w:val="0"/>
        </w:rPr>
        <w:t xml:space="preserve">Step 12: Apply Service-Orientation - Áp dụng hướng dịch vụ lần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pacing w:after="240" w:before="240" w:lineRule="auto"/>
        <w:rPr>
          <w:color w:val="252525"/>
        </w:rPr>
      </w:pPr>
      <w:bookmarkStart w:colFirst="0" w:colLast="0" w:name="_heading=h.44sinio" w:id="15"/>
      <w:bookmarkEnd w:id="15"/>
      <w:r w:rsidDel="00000000" w:rsidR="00000000" w:rsidRPr="00000000">
        <w:rPr>
          <w:color w:val="252525"/>
          <w:rtl w:val="0"/>
        </w:rPr>
        <w:t xml:space="preserve">Step 13: Revise Candidate Service Compositions - Sửa đổi các thành phần của ứng viên dịch vụ.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after="240" w:before="240" w:lineRule="auto"/>
        <w:rPr/>
      </w:pPr>
      <w:bookmarkStart w:colFirst="0" w:colLast="0" w:name="_heading=h.2jxsxqh" w:id="16"/>
      <w:bookmarkEnd w:id="16"/>
      <w:r w:rsidDel="00000000" w:rsidR="00000000" w:rsidRPr="00000000">
        <w:rPr>
          <w:color w:val="ff0000"/>
          <w:rtl w:val="0"/>
        </w:rPr>
        <w:t xml:space="preserve">Step 14: Revise Resource Definitions and Capability Candidate Grouping - Sửa đổi định nghĩa các tài nguyên và phân nhóm ứng viên khả năng.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THIẾT KẾ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528702" cy="2370162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702" cy="237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40" w:before="240" w:lineRule="auto"/>
        <w:rPr/>
      </w:pPr>
      <w:bookmarkStart w:colFirst="0" w:colLast="0" w:name="_heading=h.3j2qqm3" w:id="18"/>
      <w:bookmarkEnd w:id="18"/>
      <w:r w:rsidDel="00000000" w:rsidR="00000000" w:rsidRPr="00000000">
        <w:rPr>
          <w:color w:val="000000"/>
          <w:sz w:val="28"/>
          <w:szCs w:val="28"/>
          <w:rtl w:val="0"/>
        </w:rPr>
        <w:t xml:space="preserve">Hợp đồng dịch vụ </w:t>
      </w:r>
      <w:r w:rsidDel="00000000" w:rsidR="00000000" w:rsidRPr="00000000">
        <w:rPr>
          <w:sz w:val="28"/>
          <w:szCs w:val="28"/>
          <w:rtl w:val="0"/>
        </w:rPr>
        <w:t xml:space="preserve">BenhVien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77913" cy="2577518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913" cy="2577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240" w:before="240" w:lineRule="auto"/>
        <w:rPr>
          <w:sz w:val="48"/>
          <w:szCs w:val="48"/>
        </w:rPr>
      </w:pPr>
      <w:bookmarkStart w:colFirst="0" w:colLast="0" w:name="_heading=h.1y810tw" w:id="19"/>
      <w:bookmarkEnd w:id="19"/>
      <w:r w:rsidDel="00000000" w:rsidR="00000000" w:rsidRPr="00000000">
        <w:rPr>
          <w:color w:val="000000"/>
          <w:sz w:val="28"/>
          <w:szCs w:val="28"/>
          <w:rtl w:val="0"/>
        </w:rPr>
        <w:t xml:space="preserve">Hợp đồng dịch vụ </w:t>
      </w:r>
      <w:r w:rsidDel="00000000" w:rsidR="00000000" w:rsidRPr="00000000">
        <w:rPr>
          <w:sz w:val="28"/>
          <w:szCs w:val="28"/>
          <w:rtl w:val="0"/>
        </w:rPr>
        <w:t xml:space="preserve">Oxy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44799" cy="2970042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799" cy="2970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sz w:val="48"/>
          <w:szCs w:val="48"/>
        </w:rPr>
      </w:pPr>
      <w:bookmarkStart w:colFirst="0" w:colLast="0" w:name="_heading=h.2xcytpi" w:id="20"/>
      <w:bookmarkEnd w:id="20"/>
      <w:r w:rsidDel="00000000" w:rsidR="00000000" w:rsidRPr="00000000">
        <w:rPr>
          <w:color w:val="000000"/>
          <w:sz w:val="28"/>
          <w:szCs w:val="28"/>
          <w:rtl w:val="0"/>
        </w:rPr>
        <w:t xml:space="preserve">Hợp đồng dịch vụ </w:t>
      </w:r>
      <w:r w:rsidDel="00000000" w:rsidR="00000000" w:rsidRPr="00000000">
        <w:rPr>
          <w:sz w:val="28"/>
          <w:szCs w:val="28"/>
          <w:rtl w:val="0"/>
        </w:rPr>
        <w:t xml:space="preserve">DonDangKy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8950" cy="30861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1ci93xb" w:id="21"/>
      <w:bookmarkEnd w:id="21"/>
      <w:r w:rsidDel="00000000" w:rsidR="00000000" w:rsidRPr="00000000">
        <w:rPr>
          <w:color w:val="000000"/>
          <w:sz w:val="28"/>
          <w:szCs w:val="28"/>
          <w:rtl w:val="0"/>
        </w:rPr>
        <w:t xml:space="preserve">Hợp đồng dịch vụ Notification (Utility)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2750" cy="3086100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whwml4" w:id="22"/>
      <w:bookmarkEnd w:id="22"/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0"/>
      <w:numFmt w:val="decimal"/>
      <w:lvlText w:val="%2."/>
      <w:lvlJc w:val="left"/>
      <w:pPr>
        <w:ind w:left="2160" w:hanging="360"/>
      </w:pPr>
      <w:rPr/>
    </w:lvl>
    <w:lvl w:ilvl="2">
      <w:start w:val="0"/>
      <w:numFmt w:val="decimal"/>
      <w:lvlText w:val="%3."/>
      <w:lvlJc w:val="left"/>
      <w:pPr>
        <w:ind w:left="2880" w:hanging="360"/>
      </w:pPr>
      <w:rPr/>
    </w:lvl>
    <w:lvl w:ilvl="3">
      <w:start w:val="0"/>
      <w:numFmt w:val="decimal"/>
      <w:lvlText w:val="%4."/>
      <w:lvlJc w:val="left"/>
      <w:pPr>
        <w:ind w:left="3600" w:hanging="360"/>
      </w:pPr>
      <w:rPr/>
    </w:lvl>
    <w:lvl w:ilvl="4">
      <w:start w:val="0"/>
      <w:numFmt w:val="decimal"/>
      <w:lvlText w:val="%5."/>
      <w:lvlJc w:val="left"/>
      <w:pPr>
        <w:ind w:left="4320" w:hanging="360"/>
      </w:pPr>
      <w:rPr/>
    </w:lvl>
    <w:lvl w:ilvl="5">
      <w:start w:val="0"/>
      <w:numFmt w:val="decimal"/>
      <w:lvlText w:val="%6."/>
      <w:lvlJc w:val="left"/>
      <w:pPr>
        <w:ind w:left="5040" w:hanging="360"/>
      </w:pPr>
      <w:rPr/>
    </w:lvl>
    <w:lvl w:ilvl="6">
      <w:start w:val="0"/>
      <w:numFmt w:val="decimal"/>
      <w:lvlText w:val="%7."/>
      <w:lvlJc w:val="left"/>
      <w:pPr>
        <w:ind w:left="5760" w:hanging="360"/>
      </w:pPr>
      <w:rPr/>
    </w:lvl>
    <w:lvl w:ilvl="7">
      <w:start w:val="0"/>
      <w:numFmt w:val="decimal"/>
      <w:lvlText w:val="%8."/>
      <w:lvlJc w:val="left"/>
      <w:pPr>
        <w:ind w:left="6480" w:hanging="360"/>
      </w:pPr>
      <w:rPr/>
    </w:lvl>
    <w:lvl w:ilvl="8">
      <w:start w:val="0"/>
      <w:numFmt w:val="decimal"/>
      <w:lvlText w:val="%9."/>
      <w:lvlJc w:val="left"/>
      <w:pPr>
        <w:ind w:left="720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4774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pple-tab-span" w:customStyle="1">
    <w:name w:val="apple-tab-span"/>
    <w:basedOn w:val="DefaultParagraphFont"/>
    <w:rsid w:val="004774F8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A08A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A08A0"/>
    <w:pPr>
      <w:spacing w:after="100" w:line="259" w:lineRule="auto"/>
      <w:ind w:left="220"/>
    </w:pPr>
    <w:rPr>
      <w:rFonts w:cs="Times New Roman"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A08A0"/>
    <w:pPr>
      <w:spacing w:after="100" w:line="259" w:lineRule="auto"/>
    </w:pPr>
    <w:rPr>
      <w:rFonts w:cs="Times New Roman"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A08A0"/>
    <w:pPr>
      <w:spacing w:after="100" w:line="259" w:lineRule="auto"/>
      <w:ind w:left="440"/>
    </w:pPr>
    <w:rPr>
      <w:rFonts w:cs="Times New Roman"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 w:val="1"/>
    <w:rsid w:val="00BA08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A08A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08A0"/>
  </w:style>
  <w:style w:type="paragraph" w:styleId="Footer">
    <w:name w:val="footer"/>
    <w:basedOn w:val="Normal"/>
    <w:link w:val="FooterChar"/>
    <w:uiPriority w:val="99"/>
    <w:unhideWhenUsed w:val="1"/>
    <w:rsid w:val="00BA08A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08A0"/>
  </w:style>
  <w:style w:type="paragraph" w:styleId="ListParagraph">
    <w:name w:val="List Paragraph"/>
    <w:basedOn w:val="Normal"/>
    <w:uiPriority w:val="34"/>
    <w:qFormat w:val="1"/>
    <w:rsid w:val="00A146A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34F2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EjblX20XNtkF8oFWa/DmZhS2MQ==">AMUW2mWf40dDuTg8Uj5zid06xoNuIn+i5n9h+nxtRWGNO/AX1LDDWEQKvi8/tM66NWr/MTIOeBwPoEXWuA401RleopBTUbFtCoSfmfkh3hcU5xAN7zJK96JdOZsmP7/tKds4PwSxYVcVVUPZ/jzNZksPMU5K4yZ6W6/HfraujFd0w2Laz90CkJwAm2W1BTcxyeLsBhL1/r33EeZNcGNqvPUSHspP+FRZnZzLeyOqxVj9nPAGyaZKNONo5kr0QduOUV4qyyrZQvUlJL7/VQ3kUn2AGdtn6K5EzNubht5zdxed2VWxA2oB0lL/gFkcH82f0BKPa9H0Iwzezu0uCjLl/ZN4KE+Z1DRHAcnew0ceVbWbA8DJtrtQobKCGPuqcCAQ1Z4gjnqWeyutTnLj+PrKm7tk9IVgi9dIeuMRKvvkJZTx3+w8aw7MbiYYs1XEeL8GdIwDzhZFYp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2022-03-15T10:35:00Z</dcterms:created>
</cp:coreProperties>
</file>