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bcfc9567feb0a315db262320c76de46600b7b1"/>
    <w:p>
      <w:pPr>
        <w:pStyle w:val="Heading1"/>
      </w:pPr>
      <w:r>
        <w:t xml:space="preserve">Chapter Two: The Constructed Self and the Field of Experience</w:t>
      </w:r>
    </w:p>
    <w:p>
      <w:pPr>
        <w:pStyle w:val="FirstParagraph"/>
      </w:pPr>
      <w:r>
        <w:t xml:space="preserve">Experience appears seamless. Sensations arise, thoughts comment upon them, emotions color them, and a sense of continuity binds it all together into what feels like a single, enduring perspective. Yet this seamlessness is not something directly perceived; it is something inferred. The mind does not merely register experience—it actively organizes it, synthesizes it, and attributes it to a presumed center. This chapter proceeds by examining that presumed center with sustained attention and philosophical rigor, not to negate its usefulness, but to understand its status. What is discovered through this examination is not a new belief about the self, but a structural insight into how the appearance of self is generated and maintained.</w:t>
      </w:r>
    </w:p>
    <w:p>
      <w:pPr>
        <w:pStyle w:val="BodyText"/>
      </w:pPr>
      <w:r>
        <w:t xml:space="preserve">At any given moment, experience presents itself as a manifold: sounds, sensations, thoughts, images, and emotions arise together without hierarchy. The mind, however, immediately orders this manifold. It binds perceptions into objects, moments into sequences, and sequences into narratives. Without this binding, experience would be unintelligible. Yet the act of binding is not the same as the existence of a bound entity. This distinction is crucial. The mind’s capacity to unify experience does not require the existence of a metaphysical self any more than grammar requires the existence of an agent behind every verb. The assumption that there must be an enduring subject because experience is unified is an inference, not an observation.</w:t>
      </w:r>
    </w:p>
    <w:p>
      <w:pPr>
        <w:pStyle w:val="BodyText"/>
      </w:pPr>
      <w:r>
        <w:t xml:space="preserve">Pause here. Notice whatever is most vivid right now—a sound, a sensation, a thought. Notice also the immediate sense that</w:t>
      </w:r>
      <w:r>
        <w:t xml:space="preserve"> </w:t>
      </w:r>
      <w:r>
        <w:rPr>
          <w:i/>
          <w:iCs/>
        </w:rPr>
        <w:t xml:space="preserve">someone</w:t>
      </w:r>
      <w:r>
        <w:t xml:space="preserve"> </w:t>
      </w:r>
      <w:r>
        <w:t xml:space="preserve">is aware of it. Now ask, without trying to answer conceptually: where is that someone? Look for it in the same way you look for a sound or a sensation. What you may find is not an entity, but an absence—an unfindability that does not disrupt awareness, but rather clarifies it. Awareness remains, even when the presumed owner of awareness cannot be located.</w:t>
      </w:r>
    </w:p>
    <w:p>
      <w:pPr>
        <w:pStyle w:val="BodyText"/>
      </w:pPr>
      <w:r>
        <w:t xml:space="preserve">The sense of self persists largely because the mind mistakes functional unity for ontological substance. Experience must be unified in order to be navigable. Without synthesis, there would be no recognition, no memory, no learning. The mind therefore operates as if there is a single point of reference—a stable</w:t>
      </w:r>
      <w:r>
        <w:t xml:space="preserve"> </w:t>
      </w:r>
      <w:r>
        <w:t xml:space="preserve">“I”</w:t>
      </w:r>
      <w:r>
        <w:t xml:space="preserve"> </w:t>
      </w:r>
      <w:r>
        <w:t xml:space="preserve">that thinks, perceives, and chooses. Yet this</w:t>
      </w:r>
      <w:r>
        <w:t xml:space="preserve"> </w:t>
      </w:r>
      <w:r>
        <w:t xml:space="preserve">“I”</w:t>
      </w:r>
      <w:r>
        <w:t xml:space="preserve"> </w:t>
      </w:r>
      <w:r>
        <w:t xml:space="preserve">is never encountered directly. It is always one step removed, always inferred from the fact that experience is intelligible. The mistake is subtle: the mind confuses the condition for experience with the content of experience.</w:t>
      </w:r>
    </w:p>
    <w:p>
      <w:pPr>
        <w:pStyle w:val="BodyText"/>
      </w:pPr>
      <w:r>
        <w:t xml:space="preserve">Consider thought itself. Thoughts arise without announcement. A sentence appears in the mind, fully formed. An image flashes. A plan suggests itself. If the mind were to remain silent, the thought would still arise. Ownership is added afterward. The claim</w:t>
      </w:r>
      <w:r>
        <w:t xml:space="preserve"> </w:t>
      </w:r>
      <w:r>
        <w:t xml:space="preserve">“I thought this”</w:t>
      </w:r>
      <w:r>
        <w:t xml:space="preserve"> </w:t>
      </w:r>
      <w:r>
        <w:t xml:space="preserve">is a retrospective interpretation, not a description of an observed process. When attention rests on the arising of thought rather than its content, the absence of an author becomes evident. Thought happens, but no thinker can be found doing the thinking.</w:t>
      </w:r>
    </w:p>
    <w:p>
      <w:pPr>
        <w:pStyle w:val="BodyText"/>
      </w:pPr>
      <w:r>
        <w:t xml:space="preserve">This observation is not abstract. It can be tested directly. Wait for the next thought to arise. Do not choose it; simply wait. When it appears, ask whether you caused it, or whether it simply arrived. The experience itself answers the question. The mind’s insistence on authorship weakens under sustained observation, not because it is argued against, but because it is seen through.</w:t>
      </w:r>
    </w:p>
    <w:p>
      <w:pPr>
        <w:pStyle w:val="BodyText"/>
      </w:pPr>
      <w:r>
        <w:t xml:space="preserve">Memory plays a central role in reinforcing the illusion of a continuous self. The past is recalled and presented as</w:t>
      </w:r>
      <w:r>
        <w:t xml:space="preserve"> </w:t>
      </w:r>
      <w:r>
        <w:rPr>
          <w:i/>
          <w:iCs/>
        </w:rPr>
        <w:t xml:space="preserve">my</w:t>
      </w:r>
      <w:r>
        <w:t xml:space="preserve"> </w:t>
      </w:r>
      <w:r>
        <w:t xml:space="preserve">past, populated by a version of</w:t>
      </w:r>
      <w:r>
        <w:t xml:space="preserve"> </w:t>
      </w:r>
      <w:r>
        <w:rPr>
          <w:i/>
          <w:iCs/>
        </w:rPr>
        <w:t xml:space="preserve">me</w:t>
      </w:r>
      <w:r>
        <w:t xml:space="preserve"> </w:t>
      </w:r>
      <w:r>
        <w:t xml:space="preserve">who existed then. Yet what is actually present is a memory-image arising now. The self that seems to stretch across time is constructed retrospectively, assembled from remembered fragments and narrative coherence. There is no direct perception of a persisting entity moving through time—only a present awareness in which memories arise.</w:t>
      </w:r>
    </w:p>
    <w:p>
      <w:pPr>
        <w:pStyle w:val="BodyText"/>
      </w:pPr>
      <w:r>
        <w:t xml:space="preserve">Try this: recall a moment from childhood. Observe the image, the feelings, the sense of familiarity. Now ask where the one who experienced that moment is located. Is it anywhere other than in the memory itself? The continuity you feel is not something perceived; it is something concluded. Awareness does not move from past to present—it is always present. What changes is the content that appears within it.</w:t>
      </w:r>
    </w:p>
    <w:p>
      <w:pPr>
        <w:pStyle w:val="BodyText"/>
      </w:pPr>
      <w:r>
        <w:t xml:space="preserve">The same mechanism operates with anticipation. The future is imagined, and a future self is projected into it. Plans are made, goals established, fears anticipated. Yet the future self is no more real than the past self. Both are conceptual constructions appearing now. The sense of being a self who travels through time is sustained by memory and projection, not by direct experience.</w:t>
      </w:r>
    </w:p>
    <w:p>
      <w:pPr>
        <w:pStyle w:val="BodyText"/>
      </w:pPr>
      <w:r>
        <w:t xml:space="preserve">Emotion further complicates this structure. Emotional states carry a strong sense of ownership. Anger feels personal; desire feels intimate. The language of emotion reinforces this:</w:t>
      </w:r>
      <w:r>
        <w:t xml:space="preserve"> </w:t>
      </w:r>
      <w:r>
        <w:rPr>
          <w:i/>
          <w:iCs/>
        </w:rPr>
        <w:t xml:space="preserve">I am angry</w:t>
      </w:r>
      <w:r>
        <w:t xml:space="preserve">,</w:t>
      </w:r>
      <w:r>
        <w:t xml:space="preserve"> </w:t>
      </w:r>
      <w:r>
        <w:rPr>
          <w:i/>
          <w:iCs/>
        </w:rPr>
        <w:t xml:space="preserve">I want</w:t>
      </w:r>
      <w:r>
        <w:t xml:space="preserve">,</w:t>
      </w:r>
      <w:r>
        <w:t xml:space="preserve"> </w:t>
      </w:r>
      <w:r>
        <w:rPr>
          <w:i/>
          <w:iCs/>
        </w:rPr>
        <w:t xml:space="preserve">I fear</w:t>
      </w:r>
      <w:r>
        <w:t xml:space="preserve">. Yet emotions, when observed closely, behave like other phenomena. They arise, intensify, shift, and dissolve. They are not stable, and they do not require a self to exist. What gives them their apparent solidity is identification—the mind’s tendency to fuse the emotion with the inferred self.</w:t>
      </w:r>
    </w:p>
    <w:p>
      <w:pPr>
        <w:pStyle w:val="BodyText"/>
      </w:pPr>
      <w:r>
        <w:t xml:space="preserve">Observe an emotion the next time it arises. Rather than asking why it is there or what it means, notice how it manifests in the body and mind. Notice whether it remains static or changes. Ask whether there is an owner of the emotion, or whether the emotion simply appears in awareness. The more precisely this is observed, the less convincing the claim of ownership becomes.</w:t>
      </w:r>
    </w:p>
    <w:p>
      <w:pPr>
        <w:pStyle w:val="BodyText"/>
      </w:pPr>
      <w:r>
        <w:t xml:space="preserve">Language is one of the most powerful reinforcers of the self-model. Subject–predicate structure implies an agent behind every action. The sentence</w:t>
      </w:r>
      <w:r>
        <w:t xml:space="preserve"> </w:t>
      </w:r>
      <w:r>
        <w:t xml:space="preserve">“I am aware”</w:t>
      </w:r>
      <w:r>
        <w:t xml:space="preserve"> </w:t>
      </w:r>
      <w:r>
        <w:t xml:space="preserve">grammatically requires an</w:t>
      </w:r>
      <w:r>
        <w:t xml:space="preserve"> </w:t>
      </w:r>
      <w:r>
        <w:t xml:space="preserve">“I,”</w:t>
      </w:r>
      <w:r>
        <w:t xml:space="preserve"> </w:t>
      </w:r>
      <w:r>
        <w:t xml:space="preserve">but awareness itself does not. Awareness is prior to language. The structure of thought imposes a subject where none is given in experience. This is not an error of logic, but a limitation of representation. Words point; they do not reveal.</w:t>
      </w:r>
    </w:p>
    <w:p>
      <w:pPr>
        <w:pStyle w:val="BodyText"/>
      </w:pPr>
      <w:r>
        <w:t xml:space="preserve">This insight has significant implications. Much of what is taken to be the self is a byproduct of representation—of the way experience is described rather than the way it is encountered. When attention rests prior to description, prior to naming, awareness reveals itself as self-luminous and unowned. This is not a mystical claim; it is a phenomenological observation.</w:t>
      </w:r>
    </w:p>
    <w:p>
      <w:pPr>
        <w:pStyle w:val="BodyText"/>
      </w:pPr>
      <w:r>
        <w:t xml:space="preserve">Throughout this chapter, philosophical reasoning operates quietly beneath the surface. The mind’s role in synthesizing experience echoes the insight that unity is a condition of intelligibility rather than proof of substance. The recognition that the self is superimposed upon awareness mirrors non-dual insights into projection and misidentification. The observation that phenomena arise dependently, without an intrinsic owner, reflects the insight that nothing in experience stands alone or persists independently. These are not doctrines to be believed, but lenses through which observation becomes sharper.</w:t>
      </w:r>
    </w:p>
    <w:p>
      <w:pPr>
        <w:pStyle w:val="BodyText"/>
      </w:pPr>
      <w:r>
        <w:t xml:space="preserve">At times, insight may arise suddenly. A moment may occur when the sense of self drops away briefly, leaving only experience itself—sounds without a listener, thoughts without a thinker, sensations without an owner. These moments are often fleeting, and the mind quickly reconstructs the familiar narrative. Yet even brief glimpses have transformative power. They demonstrate that awareness does not depend on the self-model, even though the self-model depends on awareness.</w:t>
      </w:r>
    </w:p>
    <w:p>
      <w:pPr>
        <w:pStyle w:val="BodyText"/>
      </w:pPr>
      <w:r>
        <w:t xml:space="preserve">Do not attempt to hold on to these moments. Grasping reactivates the self-model. Instead, return to observation. Each time the mind claims ownership, notice the claim. Each time continuity is assumed, examine it. The process is cumulative. Understanding deepens not through accumulation of concepts, but through repeated recognition of how concepts are formed.</w:t>
      </w:r>
    </w:p>
    <w:p>
      <w:pPr>
        <w:pStyle w:val="BodyText"/>
      </w:pPr>
      <w:r>
        <w:t xml:space="preserve">As this chapter unfolds, the reader is not being asked to adopt a new identity or belief, but to examine the structure of experience with unusual precision. The self is revealed not as an illusion to be destroyed, but as a useful fiction—functional, adaptive, and empty of inherent substance. Awareness, by contrast, is not constructed. It is not inferred. It is that within which all construction occurs.</w:t>
      </w:r>
    </w:p>
    <w:p>
      <w:pPr>
        <w:pStyle w:val="BodyText"/>
      </w:pPr>
      <w:r>
        <w:t xml:space="preserve">By the end of this chapter, the reader may begin to notice subtle shifts: a loosening of identification, a gap between experience and ownership, a quiet recognition that what has been taken to be the center of experience is, in fact, an assumption. These shifts are not the goal; they are indicators. They signal that the inquiry is functioning as intended. What remains constant through all of it is awareness itself—present before thought, untouched by narrative, and available now as it always has been.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2026-01-11T21:40:55Z</dcterms:created>
  <dcterms:modified xsi:type="dcterms:W3CDTF">2026-01-11T21:40:55Z</dcterms:modified>
</cp:coreProperties>
</file>

<file path=docProps/custom.xml><?xml version="1.0" encoding="utf-8"?>
<Properties xmlns="http://schemas.openxmlformats.org/officeDocument/2006/custom-properties" xmlns:vt="http://schemas.openxmlformats.org/officeDocument/2006/docPropsVTypes"/>
</file>