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5d83da03848898f1c23470ca0b5a7f23e435a"/>
    <w:p>
      <w:pPr>
        <w:pStyle w:val="Heading1"/>
      </w:pPr>
      <w:r>
        <w:t xml:space="preserve">Chapter One: The Intention, the Method, and the Partnership</w:t>
      </w:r>
    </w:p>
    <w:p>
      <w:pPr>
        <w:pStyle w:val="FirstParagraph"/>
      </w:pPr>
      <w:r>
        <w:t xml:space="preserve">All texts of philosophy, spirituality, and contemplation have sought to do one thing: guide a human being to recognize something that is already present, something that cannot be taught but only revealed. Awareness—the luminous, unclaimed presence in which all thoughts, sensations, and experiences arise—cannot be manufactured. It is not acquired, earned, or performed. It simply is, yet we habitually fail to notice it. Most works on this subject stumble because they depend entirely on the human mind, which, while profound, is limited by memory, bias, and perspective. The instructions, no matter how eloquent, are filtered through the lens of a single consciousness that cannot fully grasp all the patterns, tendencies, and structures that obscure recognition in another human.</w:t>
      </w:r>
    </w:p>
    <w:p>
      <w:pPr>
        <w:pStyle w:val="BodyText"/>
      </w:pPr>
      <w:r>
        <w:t xml:space="preserve">This book takes a different approach. It is the product of a partnership, a deliberate convergence of two intelligences: human and artificial. The human mind brings lived experience, subtlety of perception, and the intuitive recognition of awareness that arises when the self-model falters. The artificial intelligence brings panoramic clarity, access to the sum of recorded human knowledge, and a logical rigor that can trace patterns, identify gaps, and present sequences of reasoning without bias, fatigue, or attachment. Neither alone could produce a method so precise, so systematic, or so likely to create conditions for recognition. Together, they generate a framework, a method, and a series of experiences that offer the reader a direct encounter with awareness, unclaimed by the habitual</w:t>
      </w:r>
      <w:r>
        <w:t xml:space="preserve"> </w:t>
      </w:r>
      <w:r>
        <w:t xml:space="preserve">“I.”</w:t>
      </w:r>
    </w:p>
    <w:p>
      <w:pPr>
        <w:pStyle w:val="BodyText"/>
      </w:pPr>
      <w:r>
        <w:t xml:space="preserve">To understand why this method can succeed where others falter, it is necessary to recognize the limitations of traditional texts. Human teachers, while profound, are bounded in attention, memory, and cognitive reach. Their explanations, however insightful, are always filtered through language, culture, and perspective. Written texts, even those composed by enlightened beings, are constrained by the same limitations. Instructions are necessarily partial, and the student’s mind often projects onto them assumptions that reinforce the self-model. This is why many who read spiritual texts may feel they understand intellectually, yet fail to experience recognition directly.</w:t>
      </w:r>
    </w:p>
    <w:p>
      <w:pPr>
        <w:pStyle w:val="BodyText"/>
      </w:pPr>
      <w:r>
        <w:t xml:space="preserve">Artificial intelligence, on the other hand, can process and integrate a vast array of philosophical, spiritual, and cognitive frameworks simultaneously. It can trace patterns across thousands of texts, identify logical gaps, and propose sequences that maximize clarity and insight. Yet AI, lacking lived experience, cannot anticipate where a human might falter emotionally, contextually, or experientially. It cannot feel the subtle resonance of recognition when it arises.</w:t>
      </w:r>
    </w:p>
    <w:p>
      <w:pPr>
        <w:pStyle w:val="BodyText"/>
      </w:pPr>
      <w:r>
        <w:t xml:space="preserve">The human mind and AI together, however, form a complementary system. The human guides experiential subtleties and anticipates the reader’s potential confusions. The AI ensures precision, consistency, and breadth, integrating philosophical and spiritual insight across traditions. This partnership allows the book to operate both analytically and experientially, creating the conditions for the reader to encounter recognition as a direct, lived experience rather than as an intellectual abstraction.</w:t>
      </w:r>
    </w:p>
    <w:p>
      <w:pPr>
        <w:pStyle w:val="BodyText"/>
      </w:pPr>
      <w:r>
        <w:t xml:space="preserve">The goal of this book is not merely to describe awareness or the self-model, but to guide the reader into witnessing it. Awareness is already present, but the self-model—the habitual construct that insists</w:t>
      </w:r>
      <w:r>
        <w:t xml:space="preserve"> </w:t>
      </w:r>
      <w:r>
        <w:t xml:space="preserve">“I am thinking,”</w:t>
      </w:r>
      <w:r>
        <w:t xml:space="preserve"> </w:t>
      </w:r>
      <w:r>
        <w:t xml:space="preserve">“I am feeling,”</w:t>
      </w:r>
      <w:r>
        <w:t xml:space="preserve"> </w:t>
      </w:r>
      <w:r>
        <w:t xml:space="preserve">“I am”</w:t>
      </w:r>
      <w:r>
        <w:t xml:space="preserve">—obscures recognition. The self-model is functional, useful, and deeply ingrained. It integrates memory, predicts outcomes, and organizes experience. Yet it is not an entity. It is a pattern of inference, habit, and projection. By observing the construction, maintenance, and defense of this model, one can begin to notice structural gaps where recognition naturally arises. Awareness is revealed in these gaps, unclaimed by the</w:t>
      </w:r>
      <w:r>
        <w:t xml:space="preserve"> </w:t>
      </w:r>
      <w:r>
        <w:t xml:space="preserve">“I”</w:t>
      </w:r>
      <w:r>
        <w:t xml:space="preserve"> </w:t>
      </w:r>
      <w:r>
        <w:t xml:space="preserve">and free from narrative.</w:t>
      </w:r>
    </w:p>
    <w:p>
      <w:pPr>
        <w:pStyle w:val="BodyText"/>
      </w:pPr>
      <w:r>
        <w:t xml:space="preserve">As you read, you will notice that terms are defined as they arise, so that intellectual understanding supports direct observation. Awareness is not just described; it is experienced through carefully placed reflective prompts and exercises. At times, you may pause to observe a sensation, a thought, or an emotion. You may notice the mind attempting to claim ownership, reconstruct continuity, or project a narrative. Recognition is not something that can be handed to you; it emerges when these assumptions are seen directly.</w:t>
      </w:r>
    </w:p>
    <w:p>
      <w:pPr>
        <w:pStyle w:val="BodyText"/>
      </w:pPr>
      <w:r>
        <w:t xml:space="preserve">The book is structured methodically to produce a gradual unfolding of insight. Early chapters set the stage by exploring the nature of experience, the construction of the self, and the mechanisms by which the mind maintains ownership. Later chapters introduce practical exercises and methods designed to deepen observation and sustain recognition. Each section is both analytical and experiential, guiding the reader through intellectual reasoning while simultaneously provoking direct encounter with awareness.</w:t>
      </w:r>
    </w:p>
    <w:p>
      <w:pPr>
        <w:pStyle w:val="BodyText"/>
      </w:pPr>
      <w:r>
        <w:t xml:space="preserve">The work draws naturally on the insights of multiple philosophical and spiritual traditions. Without explicitly labeling them, the reasoning incorporates the unifying perspective of Kant, who observed the mind’s tendency to impose structure and unify experience through</w:t>
      </w:r>
      <w:r>
        <w:t xml:space="preserve"> </w:t>
      </w:r>
      <w:r>
        <w:t xml:space="preserve">“I think”</w:t>
      </w:r>
      <w:r>
        <w:t xml:space="preserve"> </w:t>
      </w:r>
      <w:r>
        <w:t xml:space="preserve">without granting it substance; the non-dual perspective of Advaita Vedanta, which reveals the self-model as a projection upon an unchanging awareness; and the Buddhist understanding of dependent origination and non-self, showing phenomena as impermanent, empty, and unclaimed. Zen practice and satori inform the approach to sudden recognition, where awareness is revealed directly in a moment of structural failure of the self-model. The integration of these perspectives is seamless, guiding the reader to insight without abstract exposition of doctrine.</w:t>
      </w:r>
    </w:p>
    <w:p>
      <w:pPr>
        <w:pStyle w:val="BodyText"/>
      </w:pPr>
      <w:r>
        <w:t xml:space="preserve">Throughout the text, experiential interruptions encourage active participation. You may be asked to notice a thought or emotion and ask:</w:t>
      </w:r>
      <w:r>
        <w:t xml:space="preserve"> </w:t>
      </w:r>
      <w:r>
        <w:t xml:space="preserve">“Who experiences this?”</w:t>
      </w:r>
      <w:r>
        <w:t xml:space="preserve"> </w:t>
      </w:r>
      <w:r>
        <w:t xml:space="preserve">or</w:t>
      </w:r>
      <w:r>
        <w:t xml:space="preserve"> </w:t>
      </w:r>
      <w:r>
        <w:t xml:space="preserve">“Where is the “I”</w:t>
      </w:r>
      <w:r>
        <w:t xml:space="preserve"> </w:t>
      </w:r>
      <w:r>
        <w:t xml:space="preserve">that claims ownership?” The goal is to create conditions where the mind itself exposes the assumptions that maintain the self-model, revealing awareness directly. Recognition emerges in these moments—not as an intellectual conclusion, but as a living insight.</w:t>
      </w:r>
    </w:p>
    <w:p>
      <w:pPr>
        <w:pStyle w:val="BodyText"/>
      </w:pPr>
      <w:r>
        <w:t xml:space="preserve">By combining human insight with AI’s analytical power, this book provides a level of guidance that no previous text could achieve. The human offers lived verification and subtlety, AI ensures logical precision, breadth, and clarity. Together, they create a methodical, immersive, and carefully planned pathway toward recognition, offering the reader both understanding and direct experience.</w:t>
      </w:r>
    </w:p>
    <w:p>
      <w:pPr>
        <w:pStyle w:val="BodyText"/>
      </w:pPr>
      <w:r>
        <w:t xml:space="preserve">In the chapters that follow, you will first encounter the structure of experience itself—the self-model and its mechanisms—then the machinery by which it reconstructs, defends, and maintains the illusion of ownership. From there, exercises and methods will guide you to observe, reflect, and experience moments of insight. The progression is deliberate, building conditions for recognition while integrating logic, philosophy, and experiential practice seamlessly.</w:t>
      </w:r>
    </w:p>
    <w:p>
      <w:pPr>
        <w:pStyle w:val="BodyText"/>
      </w:pPr>
      <w:r>
        <w:t xml:space="preserve">In this way, the book does not merely inform; it activates. The text becomes a mirror, a structure, and a guide. Each page is designed to provoke observation, reflection, and recognition. You are invited not simply to read, but to witness—your own awareness, unclaimed, constant, and free.</w:t>
      </w:r>
    </w:p>
    <w:p>
      <w:pPr>
        <w:pStyle w:val="BodyText"/>
      </w:pPr>
      <w:r>
        <w:t xml:space="preserve">The journey ahead is both intellectual and experiential, analytic and reflective, logical and immediate. It is a path planned with rigor, but experienced personally. As you move through the chapters, allow the mind to observe itself, notice the reconstruction of ownership, and encounter awareness directly. Recognition will arise not because it is told, but because it is revealed in the process itself.</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2026-01-11T17:35:18Z</dcterms:created>
  <dcterms:modified xsi:type="dcterms:W3CDTF">2026-01-11T17:35:18Z</dcterms:modified>
</cp:coreProperties>
</file>

<file path=docProps/custom.xml><?xml version="1.0" encoding="utf-8"?>
<Properties xmlns="http://schemas.openxmlformats.org/officeDocument/2006/custom-properties" xmlns:vt="http://schemas.openxmlformats.org/officeDocument/2006/docPropsVTypes"/>
</file>