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Contents</w:t>
      </w:r>
    </w:p>
    <w:p>
      <w:r>
        <w:t>Chapter 1 — The Intention, the Method, and the Partnership</w:t>
      </w:r>
    </w:p>
    <w:p>
      <w:r>
        <w:t>Chapter 2 — The Constructed Self and the Activity of Forgetting</w:t>
      </w:r>
    </w:p>
    <w:p>
      <w:r>
        <w:t>Chapter 3 — The Logic of Seeking and the Quiet End of Effort</w:t>
      </w:r>
    </w:p>
    <w:p>
      <w:r>
        <w:t>Chapter 4 — Disassembly</w:t>
      </w:r>
    </w:p>
    <w:p>
      <w:r>
        <w:t>Chapter 5 — What Remains When Nothing Is Held</w:t>
      </w:r>
    </w:p>
    <w:p>
      <w:r>
        <w:t>Chapter 6 — The Illusion of Recognition</w:t>
      </w:r>
    </w:p>
    <w:p>
      <w:r>
        <w:t>Chapter 7 — The Impossibility of Losing Awareness</w:t>
      </w:r>
    </w:p>
    <w:p>
      <w:r>
        <w:t>Chapter 8 — The Transparency of Experience</w:t>
      </w:r>
    </w:p>
    <w:p>
      <w:r>
        <w:t>Chapter 9 — The End of Interpretation</w:t>
      </w:r>
    </w:p>
    <w:p>
      <w:r>
        <w:t>Chapter 10 — Nowhere to Stand</w:t>
      </w:r>
    </w:p>
    <w:p>
      <w:r>
        <w:t>Chapter 11 — No Position to Hold</w:t>
      </w:r>
    </w:p>
    <w:p>
      <w:r>
        <w:t>Chapter 12 — No Distance to Cross</w:t>
      </w:r>
    </w:p>
    <w:p>
      <w:r>
        <w:t>Chapter 13 — Nothing to Understand</w:t>
      </w:r>
    </w:p>
    <w:p>
      <w:r>
        <w:t>Chapter 14 — The End of the Seeker</w:t>
      </w:r>
    </w:p>
    <w:p>
      <w:r>
        <w:t>Chapter 15 — No Confirmation Available</w:t>
      </w:r>
    </w:p>
    <w:p>
      <w:r>
        <w:t>Chapter 16 — Life Without a Reference Point</w:t>
      </w:r>
    </w:p>
    <w:p>
      <w:r>
        <w:t>Chapter 17 — The Simplicity That Was Always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