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ibliography-styles-reference"/>
    <w:p>
      <w:pPr>
        <w:pStyle w:val="Heading1"/>
      </w:pPr>
      <w:r>
        <w:t xml:space="preserve">Bibliography Styles Reference</w:t>
      </w:r>
    </w:p>
    <w:p>
      <w:pPr>
        <w:pStyle w:val="FirstParagraph"/>
      </w:pPr>
      <w:r>
        <w:t xml:space="preserve">This document lists bibliography outputs for multiple styles using entries from</w:t>
      </w:r>
      <w:r>
        <w:t xml:space="preserve"> </w:t>
      </w:r>
      <w:r>
        <w:rPr>
          <w:rStyle w:val="VerbatimChar"/>
        </w:rPr>
        <w:t xml:space="preserve">tests/fixtures/bib/sample.bib</w:t>
      </w:r>
      <w:r>
        <w:t xml:space="preserve">.</w:t>
      </w:r>
    </w:p>
    <w:bookmarkStart w:id="20" w:name="numeric"/>
    <w:p>
      <w:pPr>
        <w:pStyle w:val="Heading2"/>
      </w:pPr>
      <w:r>
        <w:t xml:space="preserve">Numeric</w:t>
      </w:r>
    </w:p>
    <w:p>
      <w:pPr>
        <w:numPr>
          <w:ilvl w:val="0"/>
          <w:numId w:val="1001"/>
        </w:numPr>
        <w:pStyle w:val="Compact"/>
      </w:pPr>
      <w:r>
        <w:t xml:space="preserve">Knuth DE. The TeXbook. Computers &amp; Typesetting. 1984;A.</w:t>
      </w:r>
    </w:p>
    <w:p>
      <w:pPr>
        <w:numPr>
          <w:ilvl w:val="0"/>
          <w:numId w:val="1001"/>
        </w:numPr>
        <w:pStyle w:val="Compact"/>
      </w:pPr>
      <w:r>
        <w:t xml:space="preserve">Lamport L. LaTeX: A Document Preparation System. 2nd ed. Addison-Wesley; 1994.</w:t>
      </w:r>
    </w:p>
    <w:p>
      <w:pPr>
        <w:numPr>
          <w:ilvl w:val="0"/>
          <w:numId w:val="1001"/>
        </w:numPr>
        <w:pStyle w:val="Compact"/>
      </w:pPr>
      <w:r>
        <w:t xml:space="preserve">Miller A, Chen B. Efficient Graph Layouts for Large Diagrams. In: Proceedings of the Diagram Systems Conference; 2023. p. 101–115. doi:10.1234/diag.2023.15.</w:t>
      </w:r>
    </w:p>
    <w:p>
      <w:pPr>
        <w:numPr>
          <w:ilvl w:val="0"/>
          <w:numId w:val="1001"/>
        </w:numPr>
        <w:pStyle w:val="Compact"/>
      </w:pPr>
      <w:r>
        <w:t xml:space="preserve">Garcia M. Multi-Script Typesetting for Scientific Publishing. PhD thesis. University of Example; 2022.</w:t>
      </w:r>
    </w:p>
    <w:p>
      <w:pPr>
        <w:numPr>
          <w:ilvl w:val="0"/>
          <w:numId w:val="1001"/>
        </w:numPr>
        <w:pStyle w:val="Compact"/>
      </w:pPr>
      <w:r>
        <w:t xml:space="preserve">Lee D. Unicode Fonts for Complex Scripts. Technical Report ERL-2021-05. Example Research Lab; 2021.</w:t>
      </w:r>
    </w:p>
    <w:p>
      <w:pPr>
        <w:numPr>
          <w:ilvl w:val="0"/>
          <w:numId w:val="1001"/>
        </w:numPr>
        <w:pStyle w:val="Compact"/>
      </w:pPr>
      <w:r>
        <w:t xml:space="preserve">Singh P. Accessible Math on the Web: A Practical Guide. 2024. Available from: https://example.com/accessible-math.</w:t>
      </w:r>
    </w:p>
    <w:bookmarkEnd w:id="20"/>
    <w:bookmarkStart w:id="21" w:name="author-year"/>
    <w:p>
      <w:pPr>
        <w:pStyle w:val="Heading2"/>
      </w:pPr>
      <w:r>
        <w:t xml:space="preserve">Author-Year</w:t>
      </w:r>
    </w:p>
    <w:p>
      <w:pPr>
        <w:pStyle w:val="FirstParagraph"/>
      </w:pPr>
      <w:r>
        <w:t xml:space="preserve">Knuth, D. E. (1984). The TeXbook. Computers &amp; Typesetting, A.</w:t>
      </w:r>
      <w:r>
        <w:t xml:space="preserve"> </w:t>
      </w:r>
      <w:r>
        <w:t xml:space="preserve">Lamport, L. (1994). LaTeX: A Document Preparation System (2nd ed.). Addison-Wesley.</w:t>
      </w:r>
      <w:r>
        <w:t xml:space="preserve"> </w:t>
      </w:r>
      <w:r>
        <w:t xml:space="preserve">Miller, A., &amp; Chen, B. (2023). Efficient Graph Layouts for Large Diagrams. In Proceedings of the Diagram Systems Conference (pp. 101–115). doi:10.1234/diag.2023.15.</w:t>
      </w:r>
      <w:r>
        <w:t xml:space="preserve"> </w:t>
      </w:r>
      <w:r>
        <w:t xml:space="preserve">Garcia, M. (2022). Multi-Script Typesetting for Scientific Publishing (PhD thesis). University of Example.</w:t>
      </w:r>
      <w:r>
        <w:t xml:space="preserve"> </w:t>
      </w:r>
      <w:r>
        <w:t xml:space="preserve">Lee, D. (2021). Unicode Fonts for Complex Scripts (Technical Report ERL-2021-05). Example Research Lab.</w:t>
      </w:r>
      <w:r>
        <w:t xml:space="preserve"> </w:t>
      </w:r>
      <w:r>
        <w:t xml:space="preserve">Singh, P. (2024). Accessible Math on the Web: A Practical Guide. Retrieved from https://example.com/accessible-math</w:t>
      </w:r>
    </w:p>
    <w:bookmarkEnd w:id="21"/>
    <w:bookmarkStart w:id="22" w:name="vancouver"/>
    <w:p>
      <w:pPr>
        <w:pStyle w:val="Heading2"/>
      </w:pPr>
      <w:r>
        <w:t xml:space="preserve">Vancouver</w:t>
      </w:r>
    </w:p>
    <w:p>
      <w:pPr>
        <w:numPr>
          <w:ilvl w:val="0"/>
          <w:numId w:val="1002"/>
        </w:numPr>
        <w:pStyle w:val="Compact"/>
      </w:pPr>
      <w:r>
        <w:t xml:space="preserve">Knuth DE. The TeXbook. Computers &amp; Typesetting. 1984;A.</w:t>
      </w:r>
    </w:p>
    <w:p>
      <w:pPr>
        <w:numPr>
          <w:ilvl w:val="0"/>
          <w:numId w:val="1002"/>
        </w:numPr>
        <w:pStyle w:val="Compact"/>
      </w:pPr>
      <w:r>
        <w:t xml:space="preserve">Lamport L. LaTeX: A Document Preparation System. 2nd ed. Addison-Wesley; 1994.</w:t>
      </w:r>
    </w:p>
    <w:p>
      <w:pPr>
        <w:numPr>
          <w:ilvl w:val="0"/>
          <w:numId w:val="1002"/>
        </w:numPr>
        <w:pStyle w:val="Compact"/>
      </w:pPr>
      <w:r>
        <w:t xml:space="preserve">Miller A, Chen B. Efficient Graph Layouts for Large Diagrams. Proceedings of the Diagram Systems Conference. 2023:101–115. doi:10.1234/diag.2023.15.</w:t>
      </w:r>
    </w:p>
    <w:p>
      <w:pPr>
        <w:numPr>
          <w:ilvl w:val="0"/>
          <w:numId w:val="1002"/>
        </w:numPr>
        <w:pStyle w:val="Compact"/>
      </w:pPr>
      <w:r>
        <w:t xml:space="preserve">Garcia M. Multi-Script Typesetting for Scientific Publishing. PhD thesis. University of Example; 2022.</w:t>
      </w:r>
    </w:p>
    <w:p>
      <w:pPr>
        <w:numPr>
          <w:ilvl w:val="0"/>
          <w:numId w:val="1002"/>
        </w:numPr>
        <w:pStyle w:val="Compact"/>
      </w:pPr>
      <w:r>
        <w:t xml:space="preserve">Lee D. Unicode Fonts for Complex Scripts. Technical Report ERL-2021-05. Example Research Lab; 2021.</w:t>
      </w:r>
    </w:p>
    <w:p>
      <w:pPr>
        <w:numPr>
          <w:ilvl w:val="0"/>
          <w:numId w:val="1002"/>
        </w:numPr>
        <w:pStyle w:val="Compact"/>
      </w:pPr>
      <w:r>
        <w:t xml:space="preserve">Singh P. Accessible Math on the Web: A Practical Guide. 2024. Available from: https://example.com/accessible-math.</w:t>
      </w:r>
    </w:p>
    <w:bookmarkEnd w:id="22"/>
    <w:bookmarkStart w:id="23" w:name="Xb254934253c38a0bb993f7ea491a39db7a23b72"/>
    <w:p>
      <w:pPr>
        <w:pStyle w:val="Heading2"/>
      </w:pPr>
      <w:r>
        <w:t xml:space="preserve">Superscript (numerical citations; bibliography same as numeric)</w:t>
      </w:r>
    </w:p>
    <w:p>
      <w:pPr>
        <w:numPr>
          <w:ilvl w:val="0"/>
          <w:numId w:val="1003"/>
        </w:numPr>
        <w:pStyle w:val="Compact"/>
      </w:pPr>
      <w:r>
        <w:t xml:space="preserve">Knuth DE. The TeXbook. Computers &amp; Typesetting. 1984;A.</w:t>
      </w:r>
    </w:p>
    <w:p>
      <w:pPr>
        <w:numPr>
          <w:ilvl w:val="0"/>
          <w:numId w:val="1003"/>
        </w:numPr>
        <w:pStyle w:val="Compact"/>
      </w:pPr>
      <w:r>
        <w:t xml:space="preserve">Lamport L. LaTeX: A Document Preparation System. 2nd ed. Addison-Wesley; 1994.</w:t>
      </w:r>
    </w:p>
    <w:p>
      <w:pPr>
        <w:numPr>
          <w:ilvl w:val="0"/>
          <w:numId w:val="1003"/>
        </w:numPr>
        <w:pStyle w:val="Compact"/>
      </w:pPr>
      <w:r>
        <w:t xml:space="preserve">Miller A, Chen B. Efficient Graph Layouts for Large Diagrams. In: Proceedings of the Diagram Systems Conference; 2023. p. 101–115. doi:10.1234/diag.2023.15.</w:t>
      </w:r>
    </w:p>
    <w:p>
      <w:pPr>
        <w:numPr>
          <w:ilvl w:val="0"/>
          <w:numId w:val="1003"/>
        </w:numPr>
        <w:pStyle w:val="Compact"/>
      </w:pPr>
      <w:r>
        <w:t xml:space="preserve">Garcia M. Multi-Script Typesetting for Scientific Publishing. PhD thesis. University of Example; 2022.</w:t>
      </w:r>
    </w:p>
    <w:p>
      <w:pPr>
        <w:numPr>
          <w:ilvl w:val="0"/>
          <w:numId w:val="1003"/>
        </w:numPr>
        <w:pStyle w:val="Compact"/>
      </w:pPr>
      <w:r>
        <w:t xml:space="preserve">Lee D. Unicode Fonts for Complex Scripts. Technical Report ERL-2021-05. Example Research Lab; 2021.</w:t>
      </w:r>
    </w:p>
    <w:p>
      <w:pPr>
        <w:numPr>
          <w:ilvl w:val="0"/>
          <w:numId w:val="1003"/>
        </w:numPr>
        <w:pStyle w:val="Compact"/>
      </w:pPr>
      <w:r>
        <w:t xml:space="preserve">Singh P. Accessible Math on the Web: A Practical Guide. 2024. Available from: https://example.com/accessible-math.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2026-03-01T20:41:47Z</dcterms:created>
  <dcterms:modified xsi:type="dcterms:W3CDTF">2026-03-01T20:41:47Z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tests/fixtures/bib/sample.bib</vt:lpwstr>
  </property>
</Properties>
</file>