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citation-modes-reference"/>
    <w:p>
      <w:pPr>
        <w:pStyle w:val="Heading1"/>
      </w:pPr>
      <w:r>
        <w:t xml:space="preserve">Citation Modes Reference</w:t>
      </w:r>
    </w:p>
    <w:p>
      <w:pPr>
        <w:pStyle w:val="FirstParagraph"/>
      </w:pPr>
      <w:r>
        <w:t xml:space="preserve">This document exercises citation modes using</w:t>
      </w:r>
      <w:r>
        <w:t xml:space="preserve"> </w:t>
      </w:r>
      <w:r>
        <w:rPr>
          <w:rStyle w:val="VerbatimChar"/>
        </w:rPr>
        <w:t xml:space="preserve">tests/fixtures/bib/sample.bib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sample.json</w:t>
      </w:r>
      <w:r>
        <w:t xml:space="preserve">).</w:t>
      </w:r>
    </w:p>
    <w:bookmarkStart w:id="20" w:name="parenthetical-citations"/>
    <w:p>
      <w:pPr>
        <w:pStyle w:val="Heading2"/>
      </w:pPr>
      <w:r>
        <w:t xml:space="preserve">Parenthetical citations</w:t>
      </w:r>
    </w:p>
    <w:p>
      <w:pPr>
        <w:numPr>
          <w:ilvl w:val="0"/>
          <w:numId w:val="1001"/>
        </w:numPr>
        <w:pStyle w:val="Compact"/>
      </w:pPr>
      <w:r>
        <w:t xml:space="preserve">Single:</w:t>
      </w:r>
      <w:r>
        <w:t xml:space="preserve"> </w:t>
      </w:r>
      <w:r>
        <w:t xml:space="preserve">(Knuth 1984)</w:t>
      </w:r>
    </w:p>
    <w:p>
      <w:pPr>
        <w:numPr>
          <w:ilvl w:val="0"/>
          <w:numId w:val="1001"/>
        </w:numPr>
        <w:pStyle w:val="Compact"/>
      </w:pPr>
      <w:r>
        <w:t xml:space="preserve">Multiple:</w:t>
      </w:r>
      <w:r>
        <w:t xml:space="preserve"> </w:t>
      </w:r>
      <w:r>
        <w:t xml:space="preserve">(Knuth 1984; Lamport 1994)</w:t>
      </w:r>
    </w:p>
    <w:p>
      <w:pPr>
        <w:numPr>
          <w:ilvl w:val="0"/>
          <w:numId w:val="1001"/>
        </w:numPr>
        <w:pStyle w:val="Compact"/>
      </w:pPr>
      <w:r>
        <w:t xml:space="preserve">With prefix/suffix:</w:t>
      </w:r>
      <w:r>
        <w:t xml:space="preserve"> </w:t>
      </w:r>
      <w:r>
        <w:t xml:space="preserve">(see Knuth 1984, 42)</w:t>
      </w:r>
    </w:p>
    <w:bookmarkEnd w:id="20"/>
    <w:bookmarkStart w:id="21" w:name="narrative-citations"/>
    <w:p>
      <w:pPr>
        <w:pStyle w:val="Heading2"/>
      </w:pPr>
      <w:r>
        <w:t xml:space="preserve">Narrative citations</w:t>
      </w:r>
    </w:p>
    <w:p>
      <w:pPr>
        <w:numPr>
          <w:ilvl w:val="0"/>
          <w:numId w:val="1002"/>
        </w:numPr>
        <w:pStyle w:val="Compact"/>
      </w:pPr>
      <w:r>
        <w:t xml:space="preserve">Single:</w:t>
      </w:r>
      <w:r>
        <w:t xml:space="preserve"> </w:t>
      </w:r>
      <w:r>
        <w:t xml:space="preserve">Knuth (1984)</w:t>
      </w:r>
      <w:r>
        <w:t xml:space="preserve"> </w:t>
      </w:r>
      <w:r>
        <w:t xml:space="preserve">says TeX is a typesetting system.</w:t>
      </w:r>
    </w:p>
    <w:p>
      <w:pPr>
        <w:numPr>
          <w:ilvl w:val="0"/>
          <w:numId w:val="1002"/>
        </w:numPr>
        <w:pStyle w:val="Compact"/>
      </w:pPr>
      <w:r>
        <w:t xml:space="preserve">Multiple:</w:t>
      </w:r>
      <w:r>
        <w:t xml:space="preserve"> </w:t>
      </w:r>
      <w:r>
        <w:t xml:space="preserve">Knuth (1984)</w:t>
      </w:r>
      <w:r>
        <w:t xml:space="preserve"> </w:t>
      </w:r>
      <w:r>
        <w:t xml:space="preserve">and</w:t>
      </w:r>
      <w:r>
        <w:t xml:space="preserve"> </w:t>
      </w:r>
      <w:r>
        <w:t xml:space="preserve">Lamport (1994)</w:t>
      </w:r>
      <w:r>
        <w:t xml:space="preserve"> </w:t>
      </w:r>
      <w:r>
        <w:t xml:space="preserve">discuss document preparation.</w:t>
      </w:r>
    </w:p>
    <w:bookmarkEnd w:id="21"/>
    <w:bookmarkStart w:id="22" w:name="year-only-suppress-author"/>
    <w:p>
      <w:pPr>
        <w:pStyle w:val="Heading2"/>
      </w:pPr>
      <w:r>
        <w:t xml:space="preserve">Year-only / suppress author</w:t>
      </w:r>
    </w:p>
    <w:p>
      <w:pPr>
        <w:numPr>
          <w:ilvl w:val="0"/>
          <w:numId w:val="1003"/>
        </w:numPr>
        <w:pStyle w:val="Compact"/>
      </w:pPr>
      <w:r>
        <w:t xml:space="preserve">Year-only:</w:t>
      </w:r>
      <w:r>
        <w:t xml:space="preserve"> </w:t>
      </w:r>
      <w:r>
        <w:t xml:space="preserve">(Knuth 1984, 1984)</w:t>
      </w:r>
    </w:p>
    <w:p>
      <w:pPr>
        <w:numPr>
          <w:ilvl w:val="0"/>
          <w:numId w:val="1003"/>
        </w:numPr>
        <w:pStyle w:val="Compact"/>
      </w:pPr>
      <w:r>
        <w:t xml:space="preserve">Suppress author:</w:t>
      </w:r>
      <w:r>
        <w:t xml:space="preserve"> </w:t>
      </w:r>
      <w:r>
        <w:t xml:space="preserve">(Knuth 1984, 1984)</w:t>
      </w:r>
    </w:p>
    <w:bookmarkEnd w:id="22"/>
    <w:bookmarkStart w:id="32" w:name="mixed-types"/>
    <w:p>
      <w:pPr>
        <w:pStyle w:val="Heading2"/>
      </w:pPr>
      <w:r>
        <w:t xml:space="preserve">Mixed types</w:t>
      </w:r>
    </w:p>
    <w:p>
      <w:pPr>
        <w:numPr>
          <w:ilvl w:val="0"/>
          <w:numId w:val="1004"/>
        </w:numPr>
        <w:pStyle w:val="Compact"/>
      </w:pPr>
      <w:r>
        <w:t xml:space="preserve">Conference:</w:t>
      </w:r>
      <w:r>
        <w:t xml:space="preserve"> </w:t>
      </w:r>
      <w:r>
        <w:t xml:space="preserve">(Miller and Chen 2023)</w:t>
      </w:r>
    </w:p>
    <w:p>
      <w:pPr>
        <w:numPr>
          <w:ilvl w:val="0"/>
          <w:numId w:val="1004"/>
        </w:numPr>
        <w:pStyle w:val="Compact"/>
      </w:pPr>
      <w:r>
        <w:t xml:space="preserve">Thesis:</w:t>
      </w:r>
      <w:r>
        <w:t xml:space="preserve"> </w:t>
      </w:r>
      <w:r>
        <w:t xml:space="preserve">(Garcia 2022)</w:t>
      </w:r>
    </w:p>
    <w:p>
      <w:pPr>
        <w:numPr>
          <w:ilvl w:val="0"/>
          <w:numId w:val="1004"/>
        </w:numPr>
        <w:pStyle w:val="Compact"/>
      </w:pPr>
      <w:r>
        <w:t xml:space="preserve">Report:</w:t>
      </w:r>
      <w:r>
        <w:t xml:space="preserve"> </w:t>
      </w:r>
      <w:r>
        <w:t xml:space="preserve">(Lee 2021)</w:t>
      </w:r>
    </w:p>
    <w:p>
      <w:pPr>
        <w:numPr>
          <w:ilvl w:val="0"/>
          <w:numId w:val="1004"/>
        </w:numPr>
        <w:pStyle w:val="Compact"/>
      </w:pPr>
      <w:r>
        <w:t xml:space="preserve">Web:</w:t>
      </w:r>
      <w:r>
        <w:t xml:space="preserve"> </w:t>
      </w:r>
      <w:r>
        <w:t xml:space="preserve">(Singh 2024)</w:t>
      </w:r>
    </w:p>
    <w:bookmarkStart w:id="31" w:name="refs"/>
    <w:bookmarkStart w:id="23" w:name="ref-garcia2022"/>
    <w:p>
      <w:pPr>
        <w:pStyle w:val="Bibliography"/>
      </w:pPr>
      <w:r>
        <w:t xml:space="preserve">Garcia, Maria. 2022.</w:t>
      </w:r>
      <w:r>
        <w:t xml:space="preserve"> </w:t>
      </w:r>
      <w:r>
        <w:t xml:space="preserve">“Multi-Script Typesetting for Scientific Publishing.”</w:t>
      </w:r>
      <w:r>
        <w:t xml:space="preserve"> </w:t>
      </w:r>
      <w:r>
        <w:t xml:space="preserve">PhD thesis, University of Example.</w:t>
      </w:r>
    </w:p>
    <w:bookmarkEnd w:id="23"/>
    <w:bookmarkStart w:id="24" w:name="ref-knuth19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“The</w:t>
      </w:r>
      <w:r>
        <w:t xml:space="preserve"> </w:t>
      </w:r>
      <w:r>
        <w:t xml:space="preserve">TeX</w:t>
      </w:r>
      <w:r>
        <w:t xml:space="preserve">book.”</w:t>
      </w:r>
      <w:r>
        <w:t xml:space="preserve"> </w:t>
      </w:r>
      <w:r>
        <w:rPr>
          <w:iCs/>
          <w:i/>
        </w:rPr>
        <w:t xml:space="preserve">Computers &amp; Typesetting</w:t>
      </w:r>
      <w:r>
        <w:t xml:space="preserve"> </w:t>
      </w:r>
      <w:r>
        <w:t xml:space="preserve">A.</w:t>
      </w:r>
    </w:p>
    <w:bookmarkEnd w:id="24"/>
    <w:bookmarkStart w:id="25" w:name="ref-lamport1994"/>
    <w:p>
      <w:pPr>
        <w:pStyle w:val="Bibliography"/>
      </w:pPr>
      <w:r>
        <w:t xml:space="preserve">Lamport, Leslie. 1994.</w:t>
      </w:r>
      <w:r>
        <w:t xml:space="preserve"> </w:t>
      </w:r>
      <w:r>
        <w:rPr>
          <w:iCs/>
          <w:i/>
        </w:rPr>
        <w:t xml:space="preserve">LaTeX: A Document Preparation System</w:t>
      </w:r>
      <w:r>
        <w:t xml:space="preserve">. 2nd ed. Reading, MA: Addison-Wesley.</w:t>
      </w:r>
    </w:p>
    <w:bookmarkEnd w:id="25"/>
    <w:bookmarkStart w:id="26" w:name="ref-lee2021"/>
    <w:p>
      <w:pPr>
        <w:pStyle w:val="Bibliography"/>
      </w:pPr>
      <w:r>
        <w:t xml:space="preserve">Lee, Daniel. 2021.</w:t>
      </w:r>
      <w:r>
        <w:t xml:space="preserve"> </w:t>
      </w:r>
      <w:r>
        <w:t xml:space="preserve">“Unicode Fonts for Complex Scripts.”</w:t>
      </w:r>
      <w:r>
        <w:t xml:space="preserve"> </w:t>
      </w:r>
      <w:r>
        <w:t xml:space="preserve">ERL-2021-05. Example Research Lab.</w:t>
      </w:r>
    </w:p>
    <w:bookmarkEnd w:id="26"/>
    <w:bookmarkStart w:id="28" w:name="ref-miller2023"/>
    <w:p>
      <w:pPr>
        <w:pStyle w:val="Bibliography"/>
      </w:pPr>
      <w:r>
        <w:t xml:space="preserve">Miller, Alice, and Bob Chen. 2023.</w:t>
      </w:r>
      <w:r>
        <w:t xml:space="preserve"> </w:t>
      </w:r>
      <w:r>
        <w:t xml:space="preserve">“Efficient Graph Layouts for Large Diagrams.”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the Diagram Systems Conference</w:t>
      </w:r>
      <w:r>
        <w:t xml:space="preserve">, 101–15.</w:t>
      </w:r>
      <w:r>
        <w:t xml:space="preserve"> </w:t>
      </w:r>
      <w:hyperlink r:id="rId27">
        <w:r>
          <w:rPr>
            <w:rStyle w:val="Hyperlink"/>
          </w:rPr>
          <w:t xml:space="preserve">https://doi.org/10.1234/diag.2023.15</w:t>
        </w:r>
      </w:hyperlink>
      <w:r>
        <w:t xml:space="preserve">.</w:t>
      </w:r>
    </w:p>
    <w:bookmarkEnd w:id="28"/>
    <w:bookmarkStart w:id="30" w:name="ref-webaccess2024"/>
    <w:p>
      <w:pPr>
        <w:pStyle w:val="Bibliography"/>
      </w:pPr>
      <w:r>
        <w:t xml:space="preserve">Singh, Priya. 2024.</w:t>
      </w:r>
      <w:r>
        <w:t xml:space="preserve"> </w:t>
      </w:r>
      <w:r>
        <w:t xml:space="preserve">“Accessible Math on the Web: A Practical Guide.”</w:t>
      </w:r>
      <w:r>
        <w:t xml:space="preserve"> </w:t>
      </w:r>
      <w:r>
        <w:t xml:space="preserve">2024.</w:t>
      </w:r>
      <w:r>
        <w:t xml:space="preserve"> </w:t>
      </w:r>
      <w:hyperlink r:id="rId29">
        <w:r>
          <w:rPr>
            <w:rStyle w:val="Hyperlink"/>
          </w:rPr>
          <w:t xml:space="preserve">https://example.com/accessible-math</w:t>
        </w:r>
      </w:hyperlink>
      <w:r>
        <w:t xml:space="preserve">.</w:t>
      </w:r>
    </w:p>
    <w:bookmarkEnd w:id="30"/>
    <w:bookmarkEnd w:id="31"/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7" Target="https://doi.org/10.1234/diag.2023.15" TargetMode="External" /><Relationship Type="http://schemas.openxmlformats.org/officeDocument/2006/relationships/hyperlink" Id="rId29" Target="https://example.com/accessible-mat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doi.org/10.1234/diag.2023.15" TargetMode="External" /><Relationship Type="http://schemas.openxmlformats.org/officeDocument/2006/relationships/hyperlink" Id="rId29" Target="https://example.com/accessible-mat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2026-03-01T20:41:37Z</dcterms:created>
  <dcterms:modified xsi:type="dcterms:W3CDTF">2026-03-01T20:41:37Z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tests/fixtures/bib/sample.bib</vt:lpwstr>
  </property>
</Properties>
</file>