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ross-references-reference"/>
    <w:p>
      <w:pPr>
        <w:pStyle w:val="Heading1"/>
      </w:pPr>
      <w:r>
        <w:t xml:space="preserve">Cross-References Reference</w:t>
      </w:r>
    </w:p>
    <w:p>
      <w:pPr>
        <w:pStyle w:val="FirstParagraph"/>
      </w:pPr>
      <w:r>
        <w:t xml:space="preserve">This document tests cross-references to figures, tables, equations, and sections.</w:t>
      </w:r>
    </w:p>
    <w:p>
      <w:pPr>
        <w:pStyle w:val="BodyText"/>
      </w:pPr>
      <w:r>
        <w:t xml:space="preserve">See Figure {{fig:sample}}, Table {{tab:data}}, Equation {{eq:quadratic}}, and Section {{sec:methods}}.</w:t>
      </w:r>
    </w:p>
    <w:bookmarkStart w:id="23" w:name="sec: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We describe the method here.</w:t>
      </w:r>
    </w:p>
    <w:p>
      <w:pPr>
        <w:pStyle w:val="CaptionedFigure"/>
      </w:pPr>
      <w:r>
        <w:drawing>
          <wp:inline>
            <wp:extent cx="2667000" cy="1778000"/>
            <wp:effectExtent b="0" l="0" r="0" t="0"/>
            <wp:docPr descr="Sample Figure" title="" id="21" name="Picture"/>
            <a:graphic>
              <a:graphicData uri="http://schemas.openxmlformats.org/drawingml/2006/picture">
                <pic:pic>
                  <pic:nvPicPr>
                    <pic:cNvPr descr="media/placehold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Figure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{#tab:data}</w:t>
      </w:r>
    </w:p>
    <w:p>
      <w:pPr>
        <w:pStyle w:val="BodyText"/>
      </w:pPr>
      <w:r>
        <w:t xml:space="preserve">The quadratic equation is given by: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{#eq:quadratic}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2026-03-01T20:41:56Z</dcterms:created>
  <dcterms:modified xsi:type="dcterms:W3CDTF">2026-03-01T20:41:56Z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