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3A5F"/>
          <w:sz w:val="36"/>
        </w:rPr>
        <w:t>Марценюк Наталья</w:t>
      </w:r>
    </w:p>
    <w:p>
      <w:pPr>
        <w:spacing w:after="80"/>
        <w:jc w:val="center"/>
      </w:pPr>
      <w:r>
        <w:rPr>
          <w:b w:val="0"/>
          <w:i w:val="0"/>
          <w:sz w:val="20"/>
        </w:rPr>
        <w:t>Telegram: @mrk_natalia • Email: look85@gmail.com • GitHub: github.com/look85-ops (AOS Analyzer) • Moscow → Minsk (relocating Q4 2026)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Professional Summary</w:t>
      </w:r>
    </w:p>
    <w:p>
      <w:pPr>
        <w:spacing w:after="40"/>
      </w:pPr>
      <w:r>
        <w:rPr>
          <w:b/>
          <w:i w:val="0"/>
          <w:sz w:val="20"/>
        </w:rPr>
        <w:t>Senior L&amp;D professional with 10+ years in corporate education, sales enablement, and learning design. Combines instructional design, marketing enablement, and AI to deliver measurable business outcomes:</w:t>
      </w:r>
      <w:r>
        <w:rPr>
          <w:b w:val="0"/>
          <w:i w:val="0"/>
          <w:sz w:val="20"/>
        </w:rPr>
        <w:t xml:space="preserve"> improved win rates, reduced time-to-productivity, higher NPS. Data-informed approach: hypothesis → MVP → iterations → metrics. Built AI-powered feedback analytics for corporate education — automated survey processing and unique data-fabrication detection. Experience building competency matrices, role-based learning tracks, onboarding programs, and Customer Education from scratch across industries (railway, telecom, banking, EdTech).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Core Competencies</w:t>
      </w:r>
    </w:p>
    <w:p>
      <w:pPr>
        <w:spacing w:after="40"/>
      </w:pPr>
      <w:r>
        <w:rPr>
          <w:b/>
          <w:i w:val="0"/>
          <w:sz w:val="20"/>
        </w:rPr>
        <w:t>Enablement &amp; Onboarding:</w:t>
      </w:r>
      <w:r>
        <w:rPr>
          <w:b w:val="0"/>
          <w:i w:val="0"/>
          <w:sz w:val="20"/>
        </w:rPr>
        <w:t xml:space="preserve"> Sales Enablement, Marketing Enablement, Onboarding, Customer Education, Playbooks/Job Aids, Time-to-Productivity, Adoption, Win Rate</w:t>
      </w:r>
    </w:p>
    <w:p>
      <w:pPr>
        <w:spacing w:after="40"/>
      </w:pPr>
      <w:r>
        <w:rPr>
          <w:b/>
          <w:i w:val="0"/>
          <w:sz w:val="20"/>
        </w:rPr>
        <w:t>Instructional Design:</w:t>
      </w:r>
      <w:r>
        <w:rPr>
          <w:b w:val="0"/>
          <w:i w:val="0"/>
          <w:sz w:val="20"/>
        </w:rPr>
        <w:t xml:space="preserve"> Instructional Design, Microlearning, Content Strategy, Blended Learning, E-learning, Continuing Education Programs, Training of Trainers (ToT)</w:t>
      </w:r>
    </w:p>
    <w:p>
      <w:pPr>
        <w:spacing w:after="40"/>
      </w:pPr>
      <w:r>
        <w:rPr>
          <w:b/>
          <w:i w:val="0"/>
          <w:sz w:val="20"/>
        </w:rPr>
        <w:t>Learning Analytics &amp; Assessment:</w:t>
      </w:r>
      <w:r>
        <w:rPr>
          <w:b w:val="0"/>
          <w:i w:val="0"/>
          <w:sz w:val="20"/>
        </w:rPr>
        <w:t xml:space="preserve"> Learning Analytics, Competency Matrix, Skills Gap Analysis, Role-based Learning Tracks, Kirkpatrick/Phillips Evaluation, NPS, Cohort Analysis (30/60/90)</w:t>
      </w:r>
    </w:p>
    <w:p>
      <w:pPr>
        <w:spacing w:after="40"/>
      </w:pPr>
      <w:r>
        <w:rPr>
          <w:b/>
          <w:i w:val="0"/>
          <w:sz w:val="20"/>
        </w:rPr>
        <w:t>LMS &amp; Learning Operations:</w:t>
      </w:r>
      <w:r>
        <w:rPr>
          <w:b w:val="0"/>
          <w:i w:val="0"/>
          <w:sz w:val="20"/>
        </w:rPr>
        <w:t xml:space="preserve"> LMS Administration Oversight (content upload, progress tracking, adoption analytics, team coordination), Content QA</w:t>
      </w:r>
    </w:p>
    <w:p>
      <w:pPr>
        <w:spacing w:after="40"/>
      </w:pPr>
      <w:r>
        <w:rPr>
          <w:b/>
          <w:i w:val="0"/>
          <w:sz w:val="20"/>
        </w:rPr>
        <w:t>AI &amp; Automation:</w:t>
      </w:r>
      <w:r>
        <w:rPr>
          <w:b w:val="0"/>
          <w:i w:val="0"/>
          <w:sz w:val="20"/>
        </w:rPr>
        <w:t xml:space="preserve"> GenAI for Content, Prompt Engineering, Workflow Automation, AI-powered Feedback Analytics (100+ surveys/cycle), Data-fabrication Detection, Data-informed Design</w:t>
      </w:r>
    </w:p>
    <w:p>
      <w:pPr>
        <w:spacing w:after="40"/>
      </w:pPr>
      <w:r>
        <w:rPr>
          <w:b/>
          <w:i w:val="0"/>
          <w:sz w:val="20"/>
        </w:rPr>
        <w:t>Management:</w:t>
      </w:r>
      <w:r>
        <w:rPr>
          <w:b w:val="0"/>
          <w:i w:val="0"/>
          <w:sz w:val="20"/>
        </w:rPr>
        <w:t xml:space="preserve"> Stakeholder Management, Vendor Management, Team Leadership (4+ FTE), Learning Budget Planning</w:t>
      </w:r>
    </w:p>
    <w:p>
      <w:pPr>
        <w:spacing w:after="40"/>
      </w:pPr>
      <w:r>
        <w:rPr>
          <w:b/>
          <w:i w:val="0"/>
          <w:sz w:val="20"/>
        </w:rPr>
        <w:t>Tools:</w:t>
      </w:r>
      <w:r>
        <w:rPr>
          <w:b w:val="0"/>
          <w:i w:val="0"/>
          <w:sz w:val="20"/>
        </w:rPr>
        <w:t xml:space="preserve"> Notion, Miro, Tilda, Canva, Loom, Google Workspace, Course Editor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Professional Experience</w:t>
      </w:r>
    </w:p>
    <w:p>
      <w:pPr>
        <w:spacing w:after="40"/>
      </w:pPr>
      <w:r>
        <w:rPr>
          <w:b/>
          <w:i w:val="0"/>
          <w:sz w:val="20"/>
        </w:rPr>
        <w:t>Lead Learning Designer / Educational Project Manager</w:t>
      </w:r>
      <w:r>
        <w:rPr>
          <w:b w:val="0"/>
          <w:i w:val="0"/>
          <w:sz w:val="20"/>
        </w:rPr>
        <w:t xml:space="preserve"> — Russian Railways (RZD) Corporate University (2024–Present)</w:t>
      </w:r>
    </w:p>
    <w:p>
      <w:pPr>
        <w:pStyle w:val="ListBullet"/>
        <w:spacing w:after="40"/>
      </w:pPr>
      <w:r>
        <w:rPr>
          <w:b/>
          <w:i w:val="0"/>
          <w:sz w:val="20"/>
        </w:rPr>
        <w:t>Architected leadership development program for 50+ regional railway units:</w:t>
      </w:r>
      <w:r>
        <w:rPr>
          <w:b w:val="0"/>
          <w:i w:val="0"/>
          <w:sz w:val="20"/>
        </w:rPr>
        <w:t xml:space="preserve"> competency matrix, microlearning, blended learning (in-person, e-learning, field trips), ToT.</w:t>
      </w:r>
    </w:p>
    <w:p>
      <w:pPr>
        <w:pStyle w:val="ListBullet"/>
        <w:spacing w:after="40"/>
      </w:pPr>
      <w:r>
        <w:rPr>
          <w:b/>
          <w:i w:val="0"/>
          <w:sz w:val="20"/>
        </w:rPr>
        <w:t>Managed full program cycle:</w:t>
      </w:r>
      <w:r>
        <w:rPr>
          <w:b w:val="0"/>
          <w:i w:val="0"/>
          <w:sz w:val="20"/>
        </w:rPr>
        <w:t xml:space="preserve"> stakeholder discovery, content design, instructor enablement, LMS operations oversight (content upload, progress tracking, adoption analytics), QA, evaluation.</w:t>
      </w:r>
    </w:p>
    <w:p>
      <w:pPr>
        <w:pStyle w:val="ListBullet"/>
        <w:spacing w:after="40"/>
      </w:pPr>
      <w:r>
        <w:rPr>
          <w:b/>
          <w:i w:val="0"/>
          <w:sz w:val="20"/>
        </w:rPr>
        <w:t>Results:</w:t>
      </w:r>
      <w:r>
        <w:rPr>
          <w:b w:val="0"/>
          <w:i w:val="0"/>
          <w:sz w:val="20"/>
        </w:rPr>
        <w:t xml:space="preserve"> 400+ managers trained (2024–2025); NPS 9.7 (Mar 2026); Smart Pyramid Award 2024 for best educational product.</w:t>
      </w:r>
    </w:p>
    <w:p>
      <w:pPr>
        <w:pStyle w:val="ListBullet"/>
        <w:spacing w:after="40"/>
      </w:pPr>
      <w:r>
        <w:rPr>
          <w:b/>
          <w:i w:val="0"/>
          <w:sz w:val="20"/>
        </w:rPr>
        <w:t>Built AI-powered feedback analytics:</w:t>
      </w:r>
      <w:r>
        <w:rPr>
          <w:b w:val="0"/>
          <w:i w:val="0"/>
          <w:sz w:val="20"/>
        </w:rPr>
        <w:t xml:space="preserve"> automated processing of 100+ surveys per cycle, pattern detection, A/B tests, auto-generated reports (manual effort cut from 3 days to 2 hours); unique data-fabrication detection — anomalies in 6/7 institutions' data, no market analog.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Published open-source AOS Analyzer on GitHub (github.com/look85-ops/aos-analyzer) — AI tool for feedback-quality auditing.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Participated in learning budget planning and program reporting.</w:t>
      </w:r>
    </w:p>
    <w:p>
      <w:pPr>
        <w:spacing w:after="40"/>
      </w:pPr>
      <w:r>
        <w:rPr>
          <w:b/>
          <w:i w:val="0"/>
          <w:sz w:val="20"/>
        </w:rPr>
        <w:t>Educational Project Manager</w:t>
      </w:r>
      <w:r>
        <w:rPr>
          <w:b w:val="0"/>
          <w:i w:val="0"/>
          <w:sz w:val="20"/>
        </w:rPr>
        <w:t xml:space="preserve"> — Bauman Moscow State Technical University (2023–2024)</w:t>
      </w:r>
    </w:p>
    <w:p>
      <w:pPr>
        <w:pStyle w:val="ListBullet"/>
        <w:spacing w:after="40"/>
      </w:pPr>
      <w:r>
        <w:rPr>
          <w:b/>
          <w:i w:val="0"/>
          <w:sz w:val="20"/>
        </w:rPr>
        <w:t>Designed continuing education programs from scratch for external corporate clients:</w:t>
      </w:r>
      <w:r>
        <w:rPr>
          <w:b w:val="0"/>
          <w:i w:val="0"/>
          <w:sz w:val="20"/>
        </w:rPr>
        <w:t xml:space="preserve"> discovery, curriculum design, e-learning, in-person formats.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Introduced role-based learning tracks and instructor support (methodology, QA).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Managed LMS content upload and learning analytics reporting.</w:t>
      </w:r>
    </w:p>
    <w:p>
      <w:pPr>
        <w:spacing w:after="40"/>
      </w:pPr>
      <w:r>
        <w:rPr>
          <w:b/>
          <w:i w:val="0"/>
          <w:sz w:val="20"/>
        </w:rPr>
        <w:t>Learning Program Manager (SberBusiness)</w:t>
      </w:r>
      <w:r>
        <w:rPr>
          <w:b w:val="0"/>
          <w:i w:val="0"/>
          <w:sz w:val="20"/>
        </w:rPr>
        <w:t xml:space="preserve"> — Sber (2021)</w:t>
      </w:r>
    </w:p>
    <w:p>
      <w:pPr>
        <w:pStyle w:val="ListBullet"/>
        <w:spacing w:after="40"/>
      </w:pPr>
      <w:r>
        <w:rPr>
          <w:b/>
          <w:i w:val="0"/>
          <w:sz w:val="20"/>
        </w:rPr>
        <w:t>Managed learning portfolio for 9,000+ commercial banking employees:</w:t>
      </w:r>
      <w:r>
        <w:rPr>
          <w:b w:val="0"/>
          <w:i w:val="0"/>
          <w:sz w:val="20"/>
        </w:rPr>
        <w:t xml:space="preserve"> needs diagnosis, solution architecture, vendor coordination, content QA.</w:t>
      </w:r>
    </w:p>
    <w:p>
      <w:pPr>
        <w:pStyle w:val="ListBullet"/>
        <w:spacing w:after="40"/>
      </w:pPr>
      <w:r>
        <w:rPr>
          <w:b/>
          <w:i w:val="0"/>
          <w:sz w:val="20"/>
        </w:rPr>
        <w:t>Led onboarding redesign:</w:t>
      </w:r>
      <w:r>
        <w:rPr>
          <w:b w:val="0"/>
          <w:i w:val="0"/>
          <w:sz w:val="20"/>
        </w:rPr>
        <w:t xml:space="preserve"> modular program + job aids, role-based tracks. Results: −30% time-to-productivity; 85% tool adoption (cohort analysis 30/60/90).</w:t>
      </w:r>
    </w:p>
    <w:p>
      <w:pPr>
        <w:pStyle w:val="ListBullet"/>
        <w:spacing w:after="40"/>
      </w:pPr>
      <w:r>
        <w:rPr>
          <w:b/>
          <w:i w:val="0"/>
          <w:sz w:val="20"/>
        </w:rPr>
        <w:t>Managed LMS operations:</w:t>
      </w:r>
      <w:r>
        <w:rPr>
          <w:b w:val="0"/>
          <w:i w:val="0"/>
          <w:sz w:val="20"/>
        </w:rPr>
        <w:t xml:space="preserve"> content deployment, adoption tracking, reporting.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Led team of 4; managed external vendors and budget coordination.</w:t>
      </w:r>
    </w:p>
    <w:p>
      <w:pPr>
        <w:spacing w:after="40"/>
      </w:pPr>
      <w:r>
        <w:rPr>
          <w:b/>
          <w:i w:val="0"/>
          <w:sz w:val="20"/>
        </w:rPr>
        <w:t>Additional Experience:</w:t>
      </w:r>
      <w:r>
        <w:rPr>
          <w:b w:val="0"/>
          <w:i w:val="0"/>
          <w:sz w:val="20"/>
        </w:rPr>
        <w:t xml:space="preserve"> FRII (2021), Moscow Small Business Agency (2020–2021), CRMM (2020), MBS (2012–2014) — educational project management, program design, quality standards, budgeting.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Education &amp; Certifications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Psychology; Educational Psychology — Moscow City Pedagogical University (MCPU)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Learning Design Intensive — ITMO University (2023)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Internal Marketing &amp; Communications — HSE University (2022)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Marketing (Foundations) — British Higher School of Design (2026)</w:t>
      </w:r>
    </w:p>
    <w:p>
      <w:pPr>
        <w:pStyle w:val="ListBullet"/>
        <w:spacing w:after="40"/>
      </w:pPr>
      <w:r>
        <w:rPr>
          <w:b/>
          <w:i w:val="0"/>
          <w:sz w:val="20"/>
        </w:rPr>
        <w:t>English:</w:t>
      </w:r>
      <w:r>
        <w:rPr>
          <w:b w:val="0"/>
          <w:i w:val="0"/>
          <w:sz w:val="20"/>
        </w:rPr>
        <w:t xml:space="preserve"> B2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Tools &amp; Technologies</w:t>
      </w:r>
    </w:p>
    <w:p>
      <w:pPr>
        <w:spacing w:after="40"/>
      </w:pPr>
      <w:r>
        <w:rPr>
          <w:b w:val="0"/>
          <w:i w:val="0"/>
          <w:sz w:val="20"/>
        </w:rPr>
        <w:t>Notion, Miro, Tilda, Canva, Loom, Google Workspace, GenAI (GPT, Claude), Prompt Engineering, Python (LLM pipelines), GitHub, AOS Analyzer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Languages</w:t>
      </w:r>
    </w:p>
    <w:p>
      <w:pPr>
        <w:spacing w:after="40"/>
      </w:pPr>
      <w:r>
        <w:rPr>
          <w:b w:val="0"/>
          <w:i w:val="0"/>
          <w:sz w:val="20"/>
        </w:rPr>
        <w:t>Russian (native), English (B2)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Preferences</w:t>
      </w:r>
    </w:p>
    <w:p>
      <w:pPr>
        <w:spacing w:after="40"/>
      </w:pPr>
      <w:r>
        <w:rPr>
          <w:b/>
          <w:i w:val="0"/>
          <w:sz w:val="20"/>
        </w:rPr>
        <w:t>Location:</w:t>
      </w:r>
      <w:r>
        <w:rPr>
          <w:b w:val="0"/>
          <w:i w:val="0"/>
          <w:sz w:val="20"/>
        </w:rPr>
        <w:t xml:space="preserve"> Minsk (relocating Q4 2026) • Format: office/hybrid/remote • Open to projects and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