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color w:val="1F3A5F"/>
          <w:sz w:val="36"/>
        </w:rPr>
        <w:t>Telegram: @mrk_natalia • Email: look85@gmail.com • GitHub: github.com/look85-ops</w:t>
      </w:r>
    </w:p>
    <w:p>
      <w:pPr>
        <w:spacing w:after="160"/>
        <w:jc w:val="center"/>
      </w:pPr>
      <w:r>
        <w:rPr>
          <w:b w:val="0"/>
          <w:i/>
          <w:sz w:val="20"/>
        </w:rPr>
        <w:t>Moscow → Minsk, relocating Q4 2026</w:t>
      </w:r>
    </w:p>
    <w:p>
      <w:pPr>
        <w:spacing w:before="240" w:after="80"/>
        <w:pBdr>
          <w:bottom w:val="single" w:sz="4" w:space="1" w:color="1F3A5F"/>
        </w:pBdr>
      </w:pPr>
      <w:r>
        <w:rPr>
          <w:b/>
          <w:i w:val="0"/>
          <w:color w:val="1F3A5F"/>
          <w:sz w:val="24"/>
        </w:rPr>
        <w:t>Head of L&amp;D / Learning Systems Architect / Learning Product Manager</w:t>
      </w:r>
    </w:p>
    <w:p>
      <w:pPr>
        <w:spacing w:before="240" w:after="80"/>
        <w:pBdr>
          <w:bottom w:val="single" w:sz="4" w:space="1" w:color="1F3A5F"/>
        </w:pBdr>
      </w:pPr>
      <w:r>
        <w:rPr>
          <w:b/>
          <w:i w:val="0"/>
          <w:color w:val="1F3A5F"/>
          <w:sz w:val="24"/>
        </w:rPr>
        <w:t>Professional Summary</w:t>
      </w:r>
    </w:p>
    <w:p>
      <w:pPr>
        <w:spacing w:after="40"/>
      </w:pPr>
      <w:r>
        <w:rPr>
          <w:b w:val="0"/>
          <w:i w:val="0"/>
          <w:sz w:val="20"/>
        </w:rPr>
        <w:t>Senior L&amp;D and educational program professional with 17 years of experience designing corporate learning solutions across railway operations, banking, higher education, and EdTech. Specializes in leadership development, workforce capability development, and learning systems for distributed production organizations.</w:t>
      </w:r>
    </w:p>
    <w:p>
      <w:pPr>
        <w:spacing w:after="40"/>
      </w:pPr>
      <w:r>
        <w:rPr>
          <w:b/>
          <w:i w:val="0"/>
          <w:sz w:val="20"/>
        </w:rPr>
        <w:t>At Russian Railways Corporate University, designs and manages a four-program development ecosystem for leaders of core operational functions across 50+ regions. Combines needs analysis, competency-based learning architecture, blended learning, instructor certification, learning operations, and program evaluation. Applies a product and data-informed approach:</w:t>
      </w:r>
      <w:r>
        <w:rPr>
          <w:b w:val="0"/>
          <w:i w:val="0"/>
          <w:sz w:val="20"/>
        </w:rPr>
        <w:t xml:space="preserve"> discovery, hypothesis, pilot, feedback, iteration, and measurement. Built AI-enabled feedback analytics that reduced processing time for 100+ surveys from three days to two hours and identified data-quality anomalies across six of seven partner institutions.</w:t>
      </w:r>
    </w:p>
    <w:p>
      <w:pPr>
        <w:spacing w:before="240" w:after="80"/>
        <w:pBdr>
          <w:bottom w:val="single" w:sz="4" w:space="1" w:color="1F3A5F"/>
        </w:pBdr>
      </w:pPr>
      <w:r>
        <w:rPr>
          <w:b/>
          <w:i w:val="0"/>
          <w:color w:val="1F3A5F"/>
          <w:sz w:val="24"/>
        </w:rPr>
        <w:t>Core Competencies</w:t>
      </w:r>
    </w:p>
    <w:p>
      <w:pPr>
        <w:pStyle w:val="ListBullet"/>
        <w:spacing w:after="40"/>
      </w:pPr>
      <w:r>
        <w:rPr>
          <w:b w:val="0"/>
          <w:i w:val="0"/>
          <w:sz w:val="20"/>
        </w:rPr>
        <w:t>Corporate Learning Strategy</w:t>
      </w:r>
    </w:p>
    <w:p>
      <w:pPr>
        <w:pStyle w:val="ListBullet"/>
        <w:spacing w:after="40"/>
      </w:pPr>
      <w:r>
        <w:rPr>
          <w:b w:val="0"/>
          <w:i w:val="0"/>
          <w:sz w:val="20"/>
        </w:rPr>
        <w:t>Learning Systems Architecture</w:t>
      </w:r>
    </w:p>
    <w:p>
      <w:pPr>
        <w:pStyle w:val="ListBullet"/>
        <w:spacing w:after="40"/>
      </w:pPr>
      <w:r>
        <w:rPr>
          <w:b w:val="0"/>
          <w:i w:val="0"/>
          <w:sz w:val="20"/>
        </w:rPr>
        <w:t>Learning Product Management</w:t>
      </w:r>
    </w:p>
    <w:p>
      <w:pPr>
        <w:pStyle w:val="ListBullet"/>
        <w:spacing w:after="40"/>
      </w:pPr>
      <w:r>
        <w:rPr>
          <w:b w:val="0"/>
          <w:i w:val="0"/>
          <w:sz w:val="20"/>
        </w:rPr>
        <w:t>Educational Program and Portfolio Management</w:t>
      </w:r>
    </w:p>
    <w:p>
      <w:pPr>
        <w:pStyle w:val="ListBullet"/>
        <w:spacing w:after="40"/>
      </w:pPr>
      <w:r>
        <w:rPr>
          <w:b w:val="0"/>
          <w:i w:val="0"/>
          <w:sz w:val="20"/>
        </w:rPr>
        <w:t>Leadership Development</w:t>
      </w:r>
    </w:p>
    <w:p>
      <w:pPr>
        <w:pStyle w:val="ListBullet"/>
        <w:spacing w:after="40"/>
      </w:pPr>
      <w:r>
        <w:rPr>
          <w:b w:val="0"/>
          <w:i w:val="0"/>
          <w:sz w:val="20"/>
        </w:rPr>
        <w:t>Workforce Capability Development</w:t>
      </w:r>
    </w:p>
    <w:p>
      <w:pPr>
        <w:pStyle w:val="ListBullet"/>
        <w:spacing w:after="40"/>
      </w:pPr>
      <w:r>
        <w:rPr>
          <w:b w:val="0"/>
          <w:i w:val="0"/>
          <w:sz w:val="20"/>
        </w:rPr>
        <w:t>Production and Safety-Critical Learning</w:t>
      </w:r>
    </w:p>
    <w:p>
      <w:pPr>
        <w:pStyle w:val="ListBullet"/>
        <w:spacing w:after="40"/>
      </w:pPr>
      <w:r>
        <w:rPr>
          <w:b w:val="0"/>
          <w:i w:val="0"/>
          <w:sz w:val="20"/>
        </w:rPr>
        <w:t>Distributed Workforce Learning</w:t>
      </w:r>
    </w:p>
    <w:p>
      <w:pPr>
        <w:pStyle w:val="ListBullet"/>
        <w:spacing w:after="40"/>
      </w:pPr>
      <w:r>
        <w:rPr>
          <w:b w:val="0"/>
          <w:i w:val="0"/>
          <w:sz w:val="20"/>
        </w:rPr>
        <w:t>Learning Needs Analysis</w:t>
      </w:r>
    </w:p>
    <w:p>
      <w:pPr>
        <w:pStyle w:val="ListBullet"/>
        <w:spacing w:after="40"/>
      </w:pPr>
      <w:r>
        <w:rPr>
          <w:b w:val="0"/>
          <w:i w:val="0"/>
          <w:sz w:val="20"/>
        </w:rPr>
        <w:t>Competency Frameworks and Skills Gap Analysis</w:t>
      </w:r>
    </w:p>
    <w:p>
      <w:pPr>
        <w:pStyle w:val="ListBullet"/>
        <w:spacing w:after="40"/>
      </w:pPr>
      <w:r>
        <w:rPr>
          <w:b w:val="0"/>
          <w:i w:val="0"/>
          <w:sz w:val="20"/>
        </w:rPr>
        <w:t>Role-Based Learning Pathways</w:t>
      </w:r>
    </w:p>
    <w:p>
      <w:pPr>
        <w:pStyle w:val="ListBullet"/>
        <w:spacing w:after="40"/>
      </w:pPr>
      <w:r>
        <w:rPr>
          <w:b w:val="0"/>
          <w:i w:val="0"/>
          <w:sz w:val="20"/>
        </w:rPr>
        <w:t>Instructional Design and Learning Experience Design</w:t>
      </w:r>
    </w:p>
    <w:p>
      <w:pPr>
        <w:pStyle w:val="ListBullet"/>
        <w:spacing w:after="40"/>
      </w:pPr>
      <w:r>
        <w:rPr>
          <w:b w:val="0"/>
          <w:i w:val="0"/>
          <w:sz w:val="20"/>
        </w:rPr>
        <w:t>Blended Learning, Microlearning, Field Learning, Project-Based Learning</w:t>
      </w:r>
    </w:p>
    <w:p>
      <w:pPr>
        <w:pStyle w:val="ListBullet"/>
        <w:spacing w:after="40"/>
      </w:pPr>
      <w:r>
        <w:rPr>
          <w:b w:val="0"/>
          <w:i w:val="0"/>
          <w:sz w:val="20"/>
        </w:rPr>
        <w:t>Instructor Enablement, Training of Trainers, Instructor Certification</w:t>
      </w:r>
    </w:p>
    <w:p>
      <w:pPr>
        <w:pStyle w:val="ListBullet"/>
        <w:spacing w:after="40"/>
      </w:pPr>
      <w:r>
        <w:rPr>
          <w:b w:val="0"/>
          <w:i w:val="0"/>
          <w:sz w:val="20"/>
        </w:rPr>
        <w:t>Learning Operations and LMS Oversight</w:t>
      </w:r>
    </w:p>
    <w:p>
      <w:pPr>
        <w:pStyle w:val="ListBullet"/>
        <w:spacing w:after="40"/>
      </w:pPr>
      <w:r>
        <w:rPr>
          <w:b w:val="0"/>
          <w:i w:val="0"/>
          <w:sz w:val="20"/>
        </w:rPr>
        <w:t>Learning Analytics and Program Evaluation</w:t>
      </w:r>
    </w:p>
    <w:p>
      <w:pPr>
        <w:pStyle w:val="ListBullet"/>
        <w:spacing w:after="40"/>
      </w:pPr>
      <w:r>
        <w:rPr>
          <w:b w:val="0"/>
          <w:i w:val="0"/>
          <w:sz w:val="20"/>
        </w:rPr>
        <w:t>Cohort Analysis and A/B Testing</w:t>
      </w:r>
    </w:p>
    <w:p>
      <w:pPr>
        <w:pStyle w:val="ListBullet"/>
        <w:spacing w:after="40"/>
      </w:pPr>
      <w:r>
        <w:rPr>
          <w:b w:val="0"/>
          <w:i w:val="0"/>
          <w:sz w:val="20"/>
        </w:rPr>
        <w:t>Content Quality Assurance</w:t>
      </w:r>
    </w:p>
    <w:p>
      <w:pPr>
        <w:pStyle w:val="ListBullet"/>
        <w:spacing w:after="40"/>
      </w:pPr>
      <w:r>
        <w:rPr>
          <w:b w:val="0"/>
          <w:i w:val="0"/>
          <w:sz w:val="20"/>
        </w:rPr>
        <w:t>Stakeholder and Vendor Management</w:t>
      </w:r>
    </w:p>
    <w:p>
      <w:pPr>
        <w:pStyle w:val="ListBullet"/>
        <w:spacing w:after="40"/>
      </w:pPr>
      <w:r>
        <w:rPr>
          <w:b w:val="0"/>
          <w:i w:val="0"/>
          <w:sz w:val="20"/>
        </w:rPr>
        <w:t>Cross-Functional Team Coordination</w:t>
      </w:r>
    </w:p>
    <w:p>
      <w:pPr>
        <w:pStyle w:val="ListBullet"/>
        <w:spacing w:after="40"/>
      </w:pPr>
      <w:r>
        <w:rPr>
          <w:b w:val="0"/>
          <w:i w:val="0"/>
          <w:sz w:val="20"/>
        </w:rPr>
        <w:t>AI-Enabled Learning Analytics and Workflow Automation</w:t>
      </w:r>
    </w:p>
    <w:p>
      <w:pPr>
        <w:pStyle w:val="ListBullet"/>
        <w:spacing w:after="40"/>
      </w:pPr>
      <w:r>
        <w:rPr>
          <w:b w:val="0"/>
          <w:i w:val="0"/>
          <w:sz w:val="20"/>
        </w:rPr>
        <w:t>Budget Planning Support</w:t>
      </w:r>
    </w:p>
    <w:p>
      <w:pPr>
        <w:spacing w:before="240" w:after="80"/>
        <w:pBdr>
          <w:bottom w:val="single" w:sz="4" w:space="1" w:color="1F3A5F"/>
        </w:pBdr>
      </w:pPr>
      <w:r>
        <w:rPr>
          <w:b/>
          <w:i w:val="0"/>
          <w:color w:val="1F3A5F"/>
          <w:sz w:val="24"/>
        </w:rPr>
        <w:t>Key Results</w:t>
      </w:r>
    </w:p>
    <w:p>
      <w:pPr>
        <w:pStyle w:val="ListBullet"/>
        <w:spacing w:after="40"/>
      </w:pPr>
      <w:r>
        <w:rPr>
          <w:b w:val="0"/>
          <w:i w:val="0"/>
          <w:sz w:val="20"/>
        </w:rPr>
        <w:t>Reached 490+ operational leaders through Russian Railways Corporate University programs in 2024–2025; achieved a 9.7/10 participant rating in March 2026</w:t>
      </w:r>
    </w:p>
    <w:p>
      <w:pPr>
        <w:pStyle w:val="ListBullet"/>
        <w:spacing w:after="40"/>
      </w:pPr>
      <w:r>
        <w:rPr>
          <w:b w:val="0"/>
          <w:i w:val="0"/>
          <w:sz w:val="20"/>
        </w:rPr>
        <w:t>Reduced processing time for 100+ feedback surveys per cycle from three days to two hours through AI-enabled analytics</w:t>
      </w:r>
    </w:p>
    <w:p>
      <w:pPr>
        <w:pStyle w:val="ListBullet"/>
        <w:spacing w:after="40"/>
      </w:pPr>
      <w:r>
        <w:rPr>
          <w:b w:val="0"/>
          <w:i w:val="0"/>
          <w:sz w:val="20"/>
        </w:rPr>
        <w:t>Developed a data-quality anomaly detection method that identified suspicious response patterns in six of seven partner institutions</w:t>
      </w:r>
    </w:p>
    <w:p>
      <w:pPr>
        <w:pStyle w:val="ListBullet"/>
        <w:spacing w:after="40"/>
      </w:pPr>
      <w:r>
        <w:rPr>
          <w:b w:val="0"/>
          <w:i w:val="0"/>
          <w:sz w:val="20"/>
        </w:rPr>
        <w:t>Reduced time-to-productivity by approximately 30% and increased key-tool adoption to 85% in SberBusiness pilot cohorts</w:t>
      </w:r>
    </w:p>
    <w:p>
      <w:pPr>
        <w:pStyle w:val="ListBullet"/>
        <w:spacing w:after="40"/>
      </w:pPr>
      <w:r>
        <w:rPr>
          <w:b w:val="0"/>
          <w:i w:val="0"/>
          <w:sz w:val="20"/>
        </w:rPr>
        <w:t>Published the open-source AOS Analyzer and Methodist Booster AI tools</w:t>
      </w:r>
    </w:p>
    <w:p>
      <w:pPr>
        <w:spacing w:before="240" w:after="80"/>
        <w:pBdr>
          <w:bottom w:val="single" w:sz="4" w:space="1" w:color="1F3A5F"/>
        </w:pBdr>
      </w:pPr>
      <w:r>
        <w:rPr>
          <w:b/>
          <w:i w:val="0"/>
          <w:color w:val="1F3A5F"/>
          <w:sz w:val="24"/>
        </w:rPr>
        <w:t>Professional Experience</w:t>
      </w:r>
    </w:p>
    <w:p>
      <w:pPr>
        <w:spacing w:after="40"/>
      </w:pPr>
      <w:r>
        <w:rPr>
          <w:b w:val="0"/>
          <w:i w:val="0"/>
          <w:sz w:val="20"/>
        </w:rPr>
        <w:t>### Lead Learning Designer / Educational Program Manager</w:t>
      </w:r>
    </w:p>
    <w:p>
      <w:pPr>
        <w:spacing w:after="40"/>
      </w:pPr>
      <w:r>
        <w:rPr>
          <w:b/>
          <w:i w:val="0"/>
          <w:sz w:val="20"/>
        </w:rPr>
        <w:t>Russian Railways (RZD) Corporate University | 2024–Present</w:t>
      </w:r>
    </w:p>
    <w:p>
      <w:pPr>
        <w:pStyle w:val="ListBullet"/>
        <w:spacing w:after="40"/>
      </w:pPr>
      <w:r>
        <w:rPr>
          <w:b w:val="0"/>
          <w:i w:val="0"/>
          <w:sz w:val="20"/>
        </w:rPr>
        <w:t>Design and develop learning systems for leaders of the company’s core operational functions across a distributed audience in more than 50 regions</w:t>
      </w:r>
    </w:p>
    <w:p>
      <w:pPr>
        <w:pStyle w:val="ListBullet"/>
        <w:spacing w:after="40"/>
      </w:pPr>
      <w:r>
        <w:rPr>
          <w:b/>
          <w:i w:val="0"/>
          <w:sz w:val="20"/>
        </w:rPr>
        <w:t>Manage the full educational product lifecycle:</w:t>
      </w:r>
      <w:r>
        <w:rPr>
          <w:b w:val="0"/>
          <w:i w:val="0"/>
          <w:sz w:val="20"/>
        </w:rPr>
        <w:t xml:space="preserve"> stakeholder discovery, needs analysis, learning architecture, format design, launch, instructor enablement, content quality assurance, feedback analytics, and iterative improvement</w:t>
      </w:r>
    </w:p>
    <w:p>
      <w:pPr>
        <w:pStyle w:val="ListBullet"/>
        <w:spacing w:after="40"/>
      </w:pPr>
      <w:r>
        <w:rPr>
          <w:b/>
          <w:i w:val="0"/>
          <w:sz w:val="20"/>
        </w:rPr>
        <w:t>Manage a four-program capability-development portfolio:</w:t>
      </w:r>
      <w:r>
        <w:rPr>
          <w:b w:val="0"/>
          <w:i w:val="0"/>
          <w:sz w:val="20"/>
        </w:rPr>
      </w:r>
    </w:p>
    <w:p>
      <w:pPr>
        <w:spacing w:after="40"/>
      </w:pPr>
      <w:r>
        <w:rPr>
          <w:b w:val="0"/>
          <w:i w:val="0"/>
          <w:sz w:val="20"/>
        </w:rPr>
        <w:t xml:space="preserve">  - </w:t>
      </w:r>
      <w:r>
        <w:rPr>
          <w:b/>
          <w:i w:val="0"/>
          <w:sz w:val="20"/>
        </w:rPr>
        <w:t>Professional+. Track:</w:t>
      </w:r>
      <w:r>
        <w:rPr>
          <w:b w:val="0"/>
          <w:i w:val="0"/>
          <w:sz w:val="20"/>
        </w:rPr>
        <w:t xml:space="preserve"> development program for railway track infrastructure leaders</w:t>
      </w:r>
    </w:p>
    <w:p>
      <w:pPr>
        <w:spacing w:after="40"/>
      </w:pPr>
      <w:r>
        <w:rPr>
          <w:b w:val="0"/>
          <w:i w:val="0"/>
          <w:sz w:val="20"/>
        </w:rPr>
        <w:t xml:space="preserve">  - </w:t>
      </w:r>
      <w:r>
        <w:rPr>
          <w:b/>
          <w:i w:val="0"/>
          <w:sz w:val="20"/>
        </w:rPr>
        <w:t>Academy of Track:</w:t>
      </w:r>
      <w:r>
        <w:rPr>
          <w:b w:val="0"/>
          <w:i w:val="0"/>
          <w:sz w:val="20"/>
        </w:rPr>
        <w:t xml:space="preserve"> leadership development program for the succession pool of the railway track function</w:t>
      </w:r>
    </w:p>
    <w:p>
      <w:pPr>
        <w:spacing w:after="40"/>
      </w:pPr>
      <w:r>
        <w:rPr>
          <w:b w:val="0"/>
          <w:i w:val="0"/>
          <w:sz w:val="20"/>
        </w:rPr>
        <w:t xml:space="preserve">  - </w:t>
      </w:r>
      <w:r>
        <w:rPr>
          <w:b/>
          <w:i w:val="0"/>
          <w:sz w:val="20"/>
        </w:rPr>
        <w:t>Railway University Instructor Development and Certification:</w:t>
      </w:r>
      <w:r>
        <w:rPr>
          <w:b w:val="0"/>
          <w:i w:val="0"/>
          <w:sz w:val="20"/>
        </w:rPr>
        <w:t xml:space="preserve"> prepares instructors to co-deliver Professional+ programs</w:t>
      </w:r>
    </w:p>
    <w:p>
      <w:pPr>
        <w:spacing w:after="40"/>
      </w:pPr>
      <w:r>
        <w:rPr>
          <w:b w:val="0"/>
          <w:i w:val="0"/>
          <w:sz w:val="20"/>
        </w:rPr>
        <w:t xml:space="preserve">  - </w:t>
      </w:r>
      <w:r>
        <w:rPr>
          <w:b/>
          <w:i w:val="0"/>
          <w:sz w:val="20"/>
        </w:rPr>
        <w:t>Best Practices. Track:</w:t>
      </w:r>
      <w:r>
        <w:rPr>
          <w:b w:val="0"/>
          <w:i w:val="0"/>
          <w:sz w:val="20"/>
        </w:rPr>
        <w:t xml:space="preserve"> annual masterclass series led by senior Central Infrastructure Directorate executives</w:t>
      </w:r>
    </w:p>
    <w:p>
      <w:pPr>
        <w:pStyle w:val="ListBullet"/>
        <w:spacing w:after="40"/>
      </w:pPr>
      <w:r>
        <w:rPr>
          <w:b w:val="0"/>
          <w:i w:val="0"/>
          <w:sz w:val="20"/>
        </w:rPr>
        <w:t>Design blended learning journeys combining classroom and e-learning, pre-work and post-work, field visits, project work, hackathons, and microlearning</w:t>
      </w:r>
    </w:p>
    <w:p>
      <w:pPr>
        <w:pStyle w:val="ListBullet"/>
        <w:spacing w:after="40"/>
      </w:pPr>
      <w:r>
        <w:rPr>
          <w:b w:val="0"/>
          <w:i w:val="0"/>
          <w:sz w:val="20"/>
        </w:rPr>
        <w:t>Coordinate learning designers, instructors, internal subject-matter experts, and LMS operations; oversee content quality and deliverable acceptance</w:t>
      </w:r>
    </w:p>
    <w:p>
      <w:pPr>
        <w:pStyle w:val="ListBullet"/>
        <w:spacing w:after="40"/>
      </w:pPr>
      <w:r>
        <w:rPr>
          <w:b w:val="0"/>
          <w:i w:val="0"/>
          <w:sz w:val="20"/>
        </w:rPr>
        <w:t>Reached 490+ leaders in 2024–2025; achieved a 9.7/10 participant rating in March 2026; program received the Smart Pyramid Award 2024</w:t>
      </w:r>
    </w:p>
    <w:p>
      <w:pPr>
        <w:pStyle w:val="ListBullet"/>
        <w:spacing w:after="40"/>
      </w:pPr>
      <w:r>
        <w:rPr>
          <w:b w:val="0"/>
          <w:i w:val="0"/>
          <w:sz w:val="20"/>
        </w:rPr>
        <w:t>Built an AI-enabled feedback analytics workflow for 100+ surveys per cycle, reducing manual processing from three days to two hours and supporting pattern analysis, A/B testing, and automated reporting</w:t>
      </w:r>
    </w:p>
    <w:p>
      <w:pPr>
        <w:pStyle w:val="ListBullet"/>
        <w:spacing w:after="40"/>
      </w:pPr>
      <w:r>
        <w:rPr>
          <w:b w:val="0"/>
          <w:i w:val="0"/>
          <w:sz w:val="20"/>
        </w:rPr>
        <w:t>Developed a data-quality anomaly detection method and published the open-source AOS Analyzer for feedback-quality auditing</w:t>
      </w:r>
    </w:p>
    <w:p>
      <w:pPr>
        <w:pStyle w:val="ListBullet"/>
        <w:spacing w:after="40"/>
      </w:pPr>
      <w:r>
        <w:rPr>
          <w:b w:val="0"/>
          <w:i w:val="0"/>
          <w:sz w:val="20"/>
        </w:rPr>
        <w:t>Contribute to learning budget planning and program reporting</w:t>
      </w:r>
    </w:p>
    <w:p>
      <w:pPr>
        <w:spacing w:after="40"/>
      </w:pPr>
      <w:r>
        <w:rPr>
          <w:b w:val="0"/>
          <w:i w:val="0"/>
          <w:sz w:val="20"/>
        </w:rPr>
        <w:t>### Educational Project Manager</w:t>
      </w:r>
    </w:p>
    <w:p>
      <w:pPr>
        <w:spacing w:after="40"/>
      </w:pPr>
      <w:r>
        <w:rPr>
          <w:b/>
          <w:i w:val="0"/>
          <w:sz w:val="20"/>
        </w:rPr>
        <w:t>Bauman Moscow State Technical University | 2023–2024</w:t>
      </w:r>
    </w:p>
    <w:p>
      <w:pPr>
        <w:pStyle w:val="ListBullet"/>
        <w:spacing w:after="40"/>
      </w:pPr>
      <w:r>
        <w:rPr>
          <w:b w:val="0"/>
          <w:i w:val="0"/>
          <w:sz w:val="20"/>
        </w:rPr>
        <w:t>Designed continuing education programs from discovery to launch for external corporate clients</w:t>
      </w:r>
    </w:p>
    <w:p>
      <w:pPr>
        <w:pStyle w:val="ListBullet"/>
        <w:spacing w:after="40"/>
      </w:pPr>
      <w:r>
        <w:rPr>
          <w:b w:val="0"/>
          <w:i w:val="0"/>
          <w:sz w:val="20"/>
        </w:rPr>
        <w:t>Introduced role-based learning pathways and an iterative feedback-based program update cycle</w:t>
      </w:r>
    </w:p>
    <w:p>
      <w:pPr>
        <w:pStyle w:val="ListBullet"/>
        <w:spacing w:after="40"/>
      </w:pPr>
      <w:r>
        <w:rPr>
          <w:b w:val="0"/>
          <w:i w:val="0"/>
          <w:sz w:val="20"/>
        </w:rPr>
        <w:t>Provided instructor enablement, methodology support, LMS coordination, and content quality assurance</w:t>
      </w:r>
    </w:p>
    <w:p>
      <w:pPr>
        <w:spacing w:after="40"/>
      </w:pPr>
      <w:r>
        <w:rPr>
          <w:b w:val="0"/>
          <w:i w:val="0"/>
          <w:sz w:val="20"/>
        </w:rPr>
        <w:t>### Learning Program Manager, SberBusiness</w:t>
      </w:r>
    </w:p>
    <w:p>
      <w:pPr>
        <w:spacing w:after="40"/>
      </w:pPr>
      <w:r>
        <w:rPr>
          <w:b/>
          <w:i w:val="0"/>
          <w:sz w:val="20"/>
        </w:rPr>
        <w:t>Sber | 2021</w:t>
      </w:r>
    </w:p>
    <w:p>
      <w:pPr>
        <w:pStyle w:val="ListBullet"/>
        <w:spacing w:after="40"/>
      </w:pPr>
      <w:r>
        <w:rPr>
          <w:b w:val="0"/>
          <w:i w:val="0"/>
          <w:sz w:val="20"/>
        </w:rPr>
        <w:t>Managed a learning portfolio for 9,000+ commercial banking employees, including needs analysis, solution architecture, coordination of a four-person team, vendor management, and content quality assurance</w:t>
      </w:r>
    </w:p>
    <w:p>
      <w:pPr>
        <w:pStyle w:val="ListBullet"/>
        <w:spacing w:after="40"/>
      </w:pPr>
      <w:r>
        <w:rPr>
          <w:b w:val="0"/>
          <w:i w:val="0"/>
          <w:sz w:val="20"/>
        </w:rPr>
        <w:t>Redesigned onboarding into a modular program with job aids and role-based learning pathways</w:t>
      </w:r>
    </w:p>
    <w:p>
      <w:pPr>
        <w:pStyle w:val="ListBullet"/>
        <w:spacing w:after="40"/>
      </w:pPr>
      <w:r>
        <w:rPr>
          <w:b w:val="0"/>
          <w:i w:val="0"/>
          <w:sz w:val="20"/>
        </w:rPr>
        <w:t>Reduced time-to-productivity by approximately 30% and achieved 85% adoption of key tools in pilot cohorts using 30/60/90-day cohort analysis</w:t>
      </w:r>
    </w:p>
    <w:p>
      <w:pPr>
        <w:spacing w:after="40"/>
      </w:pPr>
      <w:r>
        <w:rPr>
          <w:b/>
          <w:i w:val="0"/>
          <w:sz w:val="20"/>
        </w:rPr>
        <w:t>Additional Experience:</w:t>
      </w:r>
      <w:r>
        <w:rPr>
          <w:b w:val="0"/>
          <w:i w:val="0"/>
          <w:sz w:val="20"/>
        </w:rPr>
        <w:t xml:space="preserve"> FRII (2021), Moscow Small Business Agency (2020–2021), CRMM (2020), MBS (2012–2014) — educational program management, learning design, quality standards, and client engagement.</w:t>
      </w:r>
    </w:p>
    <w:p>
      <w:pPr>
        <w:spacing w:before="240" w:after="80"/>
        <w:pBdr>
          <w:bottom w:val="single" w:sz="4" w:space="1" w:color="1F3A5F"/>
        </w:pBdr>
      </w:pPr>
      <w:r>
        <w:rPr>
          <w:b/>
          <w:i w:val="0"/>
          <w:color w:val="1F3A5F"/>
          <w:sz w:val="24"/>
        </w:rPr>
        <w:t>L&amp;D Tools and Automation</w:t>
      </w:r>
    </w:p>
    <w:p>
      <w:pPr>
        <w:pStyle w:val="ListBullet"/>
        <w:spacing w:after="40"/>
      </w:pPr>
      <w:r>
        <w:rPr>
          <w:b/>
          <w:i w:val="0"/>
          <w:sz w:val="20"/>
        </w:rPr>
        <w:t>AOS Analyzer:</w:t>
      </w:r>
      <w:r>
        <w:rPr>
          <w:b w:val="0"/>
          <w:i w:val="0"/>
          <w:sz w:val="20"/>
        </w:rPr>
        <w:t xml:space="preserve"> open-source AI tool for feedback analytics and data-quality auditing — github.com/look85-ops/aos-analyzer</w:t>
      </w:r>
    </w:p>
    <w:p>
      <w:pPr>
        <w:pStyle w:val="ListBullet"/>
        <w:spacing w:after="40"/>
      </w:pPr>
      <w:r>
        <w:rPr>
          <w:b/>
          <w:i w:val="0"/>
          <w:sz w:val="20"/>
        </w:rPr>
        <w:t>Methodist Booster:</w:t>
      </w:r>
      <w:r>
        <w:rPr>
          <w:b w:val="0"/>
          <w:i w:val="0"/>
          <w:sz w:val="20"/>
        </w:rPr>
        <w:t xml:space="preserve"> free five-module AI tool for learning design workflows</w:t>
      </w:r>
    </w:p>
    <w:p>
      <w:pPr>
        <w:pStyle w:val="ListBullet"/>
        <w:spacing w:after="40"/>
      </w:pPr>
      <w:r>
        <w:rPr>
          <w:b/>
          <w:i w:val="0"/>
          <w:sz w:val="20"/>
        </w:rPr>
        <w:t>Presentation Automation:</w:t>
      </w:r>
      <w:r>
        <w:rPr>
          <w:b w:val="0"/>
          <w:i w:val="0"/>
          <w:sz w:val="20"/>
        </w:rPr>
        <w:t xml:space="preserve"> Python and PowerPoint COM tools for adding, transferring, and updating learning slides</w:t>
      </w:r>
    </w:p>
    <w:p>
      <w:pPr>
        <w:pStyle w:val="ListBullet"/>
        <w:spacing w:after="40"/>
      </w:pPr>
      <w:r>
        <w:rPr>
          <w:b/>
          <w:i w:val="0"/>
          <w:sz w:val="20"/>
        </w:rPr>
        <w:t>AI Workflows:</w:t>
      </w:r>
      <w:r>
        <w:rPr>
          <w:b w:val="0"/>
          <w:i w:val="0"/>
          <w:sz w:val="20"/>
        </w:rPr>
        <w:t xml:space="preserve"> prompt engineering, content-production automation, multi-agent workflows, and AI evaluation</w:t>
      </w:r>
    </w:p>
    <w:p>
      <w:pPr>
        <w:spacing w:before="240" w:after="80"/>
        <w:pBdr>
          <w:bottom w:val="single" w:sz="4" w:space="1" w:color="1F3A5F"/>
        </w:pBdr>
      </w:pPr>
      <w:r>
        <w:rPr>
          <w:b/>
          <w:i w:val="0"/>
          <w:color w:val="1F3A5F"/>
          <w:sz w:val="24"/>
        </w:rPr>
        <w:t>Education</w:t>
      </w:r>
    </w:p>
    <w:p>
      <w:pPr>
        <w:pStyle w:val="ListBullet"/>
        <w:spacing w:after="40"/>
      </w:pPr>
      <w:r>
        <w:rPr>
          <w:b w:val="0"/>
          <w:i w:val="0"/>
          <w:sz w:val="20"/>
        </w:rPr>
        <w:t>Psychology; Educational Psychology — Moscow City Pedagogical University</w:t>
      </w:r>
    </w:p>
    <w:p>
      <w:pPr>
        <w:pStyle w:val="ListBullet"/>
        <w:spacing w:after="40"/>
      </w:pPr>
      <w:r>
        <w:rPr>
          <w:b w:val="0"/>
          <w:i w:val="0"/>
          <w:sz w:val="20"/>
        </w:rPr>
        <w:t>Learning Design Intensive — ITMO University, 2023</w:t>
      </w:r>
    </w:p>
    <w:p>
      <w:pPr>
        <w:pStyle w:val="ListBullet"/>
        <w:spacing w:after="40"/>
      </w:pPr>
      <w:r>
        <w:rPr>
          <w:b w:val="0"/>
          <w:i w:val="0"/>
          <w:sz w:val="20"/>
        </w:rPr>
        <w:t>Internal Marketing and Communications — HSE University, 2022</w:t>
      </w:r>
    </w:p>
    <w:p>
      <w:pPr>
        <w:pStyle w:val="ListBullet"/>
        <w:spacing w:after="40"/>
      </w:pPr>
      <w:r>
        <w:rPr>
          <w:b w:val="0"/>
          <w:i w:val="0"/>
          <w:sz w:val="20"/>
        </w:rPr>
        <w:t>Marketing Foundations — British Higher School of Art and Design, 2026</w:t>
      </w:r>
    </w:p>
    <w:p>
      <w:pPr>
        <w:pStyle w:val="ListBullet"/>
        <w:spacing w:after="40"/>
      </w:pPr>
      <w:r>
        <w:rPr>
          <w:b w:val="0"/>
          <w:i w:val="0"/>
          <w:sz w:val="20"/>
        </w:rPr>
        <w:t>English — B2</w:t>
      </w:r>
    </w:p>
    <w:p>
      <w:pPr>
        <w:spacing w:before="240" w:after="80"/>
        <w:pBdr>
          <w:bottom w:val="single" w:sz="4" w:space="1" w:color="1F3A5F"/>
        </w:pBdr>
      </w:pPr>
      <w:r>
        <w:rPr>
          <w:b/>
          <w:i w:val="0"/>
          <w:color w:val="1F3A5F"/>
          <w:sz w:val="24"/>
        </w:rPr>
        <w:t>Location and Target Roles</w:t>
      </w:r>
    </w:p>
    <w:p>
      <w:pPr>
        <w:spacing w:after="40"/>
      </w:pPr>
      <w:r>
        <w:rPr>
          <w:b w:val="0"/>
          <w:i w:val="0"/>
          <w:sz w:val="20"/>
        </w:rPr>
        <w:t>Minsk, relocating Q4 2026 • Office / hybrid / remote</w:t>
      </w:r>
    </w:p>
    <w:p>
      <w:pPr>
        <w:spacing w:after="40"/>
      </w:pPr>
      <w:r>
        <w:rPr>
          <w:b/>
          <w:i w:val="0"/>
          <w:sz w:val="20"/>
        </w:rPr>
        <w:t>Target roles:</w:t>
      </w:r>
      <w:r>
        <w:rPr>
          <w:b w:val="0"/>
          <w:i w:val="0"/>
          <w:sz w:val="20"/>
        </w:rPr>
        <w:t xml:space="preserve"> Head of L&amp;D, Learning Systems Architect, Learning Product Manager, Educational Program Manager.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