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РАБОЧИЕ ПРОГРАММЫ УЧЕБНЫХ МОДУЛЕЙ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программы повышения квалификации «Развитие профессиональных компетенций руководителей хозяйства электрификации и электроснабжения. «Профессионал+. Энергия»»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Целевая аудитория: начальники дистанций электроснабжения, главные инженеры и заместители начальников дистанций.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Продолжительность обучения: 190 академических часов (160 ч контактной работы, 30 ч электронного обучения).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Форма обучения: очная, с отрывом от производства, с применением электронного обучения в межмодульный период.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Программа реализуется в сетевой форме.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Основание: модель профессиональных компетенций, утверждённая распоряжением ОАО «РЖД» от 29.03.2023 № 757/р; должностные обязанности целевой аудитории.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Проект от 29.09.2026 — на согласование.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Наименование учебных модулей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Всего, ак.час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В том числе: электрон. обучение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контактная работа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Общая рамка: хозяйство, роль руководителя и три результата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>
              <w:t>Промежуточная аттестация</w:t>
            </w:r>
          </w:p>
        </w:tc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—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Нормативная база охраны труда и производственная безопасность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Охрана труда: от знания требований к безопасному исполнению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>
              <w:t>Промежуточная аттестация</w:t>
            </w:r>
          </w:p>
        </w:tc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—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Экономика дистанции электроснабжения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Увеличение доходов и экономическая эффективность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>
              <w:t>Промежуточная аттестация</w:t>
            </w:r>
          </w:p>
        </w:tc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—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Анализ отказов и подготовка данных о надёжности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Повышение надёжности и защита программы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>
              <w:t>Итоговая аттестация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—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Итого часов по программе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190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30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160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1. Рабочая программа учебного модуля «Общая рамка: хозяйство, роль руководителя и три результата»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1. Оборудование и устройства Трансэнерго (индикаторы 1.1–1.3);</w:t>
        <w:br/>
        <w:t>2. Техническое содержание устройств контактной сети на станциях и перегонах (индикаторы 2.1–2.3);</w:t>
        <w:br/>
        <w:t>3. Техническое содержание линий электропередачи (электрических сетей) (индикаторы 3.1–3.3);</w:t>
        <w:br/>
        <w:t>4. Техническое содержание устройств тяговых и трансформаторных подстанций, линейных устройств систем тягового электроснабжения (индикаторы 4.1–4.4);</w:t>
        <w:br/>
        <w:t>9. Обеспечение безопасности движения поездов (индикаторы 9.1–9.3)</w:t>
        <w:br/>
        <w:br/>
        <w:t>Дополнительное основание: должностные обязанности начальника дистанции электроснабжения, главного инженера и заместителей начальника дистанции по управлению подразделением и производственно-финансовым показателям.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40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об устройстве хозяйства электрификации и электроснабжения, организационной структуре дистанции и границах ответственности руководителей.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роли начальника дистанции, главного инженера и заместителей в достижении трёх ключевых результатов: охрана труда, доходы, надёжность.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системе ключевых показателей дистанции и методике их анализа.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связи технических решений руководителя с безопасностью, экономическим результатом и надёжностью перевозочного процесса.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нормативных документах, регламентирующих деятельность хозяйства электрификации и электроснабжения.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постановки измеримых целей и приоритизации проблем на основе данных подразделения.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Роль руководителя дистанции электроснабжения и три результата.</w:t>
      </w:r>
    </w:p>
    <w:p>
      <w:r>
        <w:rPr>
          <w:rFonts w:ascii="Times New Roman" w:hAnsi="Times New Roman"/>
          <w:b w:val="0"/>
          <w:i w:val="0"/>
          <w:sz w:val="24"/>
        </w:rPr>
        <w:t>Ожидания бизнеса от руководителя дистанции.</w:t>
      </w:r>
    </w:p>
    <w:p>
      <w:r>
        <w:rPr>
          <w:rFonts w:ascii="Times New Roman" w:hAnsi="Times New Roman"/>
          <w:b w:val="0"/>
          <w:i w:val="0"/>
          <w:sz w:val="24"/>
        </w:rPr>
        <w:t>Роль начальника ЭЧ, главного инженера и заместителей.</w:t>
      </w:r>
    </w:p>
    <w:p>
      <w:r>
        <w:rPr>
          <w:rFonts w:ascii="Times New Roman" w:hAnsi="Times New Roman"/>
          <w:b w:val="0"/>
          <w:i w:val="0"/>
          <w:sz w:val="24"/>
        </w:rPr>
        <w:t>Три ключевых результата: охрана труда, доходы, надёжность.</w:t>
      </w:r>
    </w:p>
    <w:p>
      <w:r>
        <w:rPr>
          <w:rFonts w:ascii="Times New Roman" w:hAnsi="Times New Roman"/>
          <w:b w:val="0"/>
          <w:i w:val="0"/>
          <w:sz w:val="24"/>
        </w:rPr>
        <w:t>Зона влияния и зона ответственности руководителя.</w:t>
      </w:r>
    </w:p>
    <w:p>
      <w:r>
        <w:rPr>
          <w:rFonts w:ascii="Times New Roman" w:hAnsi="Times New Roman"/>
          <w:b/>
          <w:i w:val="0"/>
          <w:sz w:val="24"/>
        </w:rPr>
        <w:t>Устройство хозяйства электрификации и электроснабжения.</w:t>
      </w:r>
    </w:p>
    <w:p>
      <w:r>
        <w:rPr>
          <w:rFonts w:ascii="Times New Roman" w:hAnsi="Times New Roman"/>
          <w:b w:val="0"/>
          <w:i w:val="0"/>
          <w:sz w:val="24"/>
        </w:rPr>
        <w:t>Контактная сеть, линии электропередачи, тяговые и трансформаторные подстанции как единая система.</w:t>
      </w:r>
    </w:p>
    <w:p>
      <w:r>
        <w:rPr>
          <w:rFonts w:ascii="Times New Roman" w:hAnsi="Times New Roman"/>
          <w:b w:val="0"/>
          <w:i w:val="0"/>
          <w:sz w:val="24"/>
        </w:rPr>
        <w:t>Границы технической ответственности.</w:t>
      </w:r>
    </w:p>
    <w:p>
      <w:r>
        <w:rPr>
          <w:rFonts w:ascii="Times New Roman" w:hAnsi="Times New Roman"/>
          <w:b w:val="0"/>
          <w:i w:val="0"/>
          <w:sz w:val="24"/>
        </w:rPr>
        <w:t>Взаимодействие со смежными службами.</w:t>
      </w:r>
    </w:p>
    <w:p>
      <w:r>
        <w:rPr>
          <w:rFonts w:ascii="Times New Roman" w:hAnsi="Times New Roman"/>
          <w:b/>
          <w:i w:val="0"/>
          <w:sz w:val="24"/>
        </w:rPr>
        <w:t>Данные и показатели как инструмент руководителя.</w:t>
      </w:r>
    </w:p>
    <w:p>
      <w:r>
        <w:rPr>
          <w:rFonts w:ascii="Times New Roman" w:hAnsi="Times New Roman"/>
          <w:b w:val="0"/>
          <w:i w:val="0"/>
          <w:sz w:val="24"/>
        </w:rPr>
        <w:t>Ключевые показатели по охране труда, доходам и надёжности.</w:t>
      </w:r>
    </w:p>
    <w:p>
      <w:r>
        <w:rPr>
          <w:rFonts w:ascii="Times New Roman" w:hAnsi="Times New Roman"/>
          <w:b w:val="0"/>
          <w:i w:val="0"/>
          <w:sz w:val="24"/>
        </w:rPr>
        <w:t>Источники данных в дистанции и АСУ.</w:t>
      </w:r>
    </w:p>
    <w:p>
      <w:r>
        <w:rPr>
          <w:rFonts w:ascii="Times New Roman" w:hAnsi="Times New Roman"/>
          <w:b w:val="0"/>
          <w:i w:val="0"/>
          <w:sz w:val="24"/>
        </w:rPr>
        <w:t>Качество данных и типовые ошибки интерпретации.</w:t>
      </w:r>
    </w:p>
    <w:p>
      <w:r>
        <w:rPr>
          <w:rFonts w:ascii="Times New Roman" w:hAnsi="Times New Roman"/>
          <w:b w:val="0"/>
          <w:i w:val="0"/>
          <w:sz w:val="24"/>
        </w:rPr>
        <w:t>Постановка проблемы на основе данных.</w:t>
      </w:r>
    </w:p>
    <w:p>
      <w:r>
        <w:rPr>
          <w:rFonts w:ascii="Times New Roman" w:hAnsi="Times New Roman"/>
          <w:b/>
          <w:i w:val="0"/>
          <w:sz w:val="24"/>
        </w:rPr>
        <w:t>Нормативная база руководителя.</w:t>
      </w:r>
    </w:p>
    <w:p>
      <w:r>
        <w:rPr>
          <w:rFonts w:ascii="Times New Roman" w:hAnsi="Times New Roman"/>
          <w:b w:val="0"/>
          <w:i w:val="0"/>
          <w:sz w:val="24"/>
        </w:rPr>
        <w:t>Основные нормативные документы и регламенты.</w:t>
      </w:r>
    </w:p>
    <w:p>
      <w:r>
        <w:rPr>
          <w:rFonts w:ascii="Times New Roman" w:hAnsi="Times New Roman"/>
          <w:b w:val="0"/>
          <w:i w:val="0"/>
          <w:sz w:val="24"/>
        </w:rPr>
        <w:t>Работа с нормативами как с рабочим инструментом.</w:t>
      </w:r>
    </w:p>
    <w:p>
      <w:r>
        <w:rPr>
          <w:rFonts w:ascii="Times New Roman" w:hAnsi="Times New Roman"/>
          <w:b/>
          <w:i w:val="0"/>
          <w:sz w:val="24"/>
        </w:rPr>
        <w:t>Паспорт подразделения и маршрут программы.</w:t>
      </w:r>
    </w:p>
    <w:p>
      <w:r>
        <w:rPr>
          <w:rFonts w:ascii="Times New Roman" w:hAnsi="Times New Roman"/>
          <w:b w:val="0"/>
          <w:i w:val="0"/>
          <w:sz w:val="24"/>
        </w:rPr>
        <w:t>Формирование исходных показателей по трём результатам.</w:t>
      </w:r>
    </w:p>
    <w:p>
      <w:r>
        <w:rPr>
          <w:rFonts w:ascii="Times New Roman" w:hAnsi="Times New Roman"/>
          <w:b w:val="0"/>
          <w:i w:val="0"/>
          <w:sz w:val="24"/>
        </w:rPr>
        <w:t>Выявление и приоритизация проблем и возможностей.</w:t>
      </w:r>
    </w:p>
    <w:p>
      <w:r>
        <w:rPr>
          <w:rFonts w:ascii="Times New Roman" w:hAnsi="Times New Roman"/>
          <w:b w:val="0"/>
          <w:i w:val="0"/>
          <w:sz w:val="24"/>
        </w:rPr>
        <w:t>Постановка измеримых целей.</w:t>
      </w:r>
    </w:p>
    <w:p>
      <w:r>
        <w:rPr>
          <w:rFonts w:ascii="Times New Roman" w:hAnsi="Times New Roman"/>
          <w:b w:val="0"/>
          <w:i w:val="0"/>
          <w:sz w:val="24"/>
        </w:rPr>
        <w:t>Входная диагностика профессиональных знаний.</w:t>
      </w:r>
    </w:p>
    <w:p>
      <w:r>
        <w:rPr>
          <w:rFonts w:ascii="Times New Roman" w:hAnsi="Times New Roman"/>
          <w:b/>
          <w:i w:val="0"/>
          <w:sz w:val="24"/>
        </w:rPr>
        <w:t>Аттестация:</w:t>
      </w:r>
    </w:p>
    <w:p>
      <w:r>
        <w:rPr>
          <w:rFonts w:ascii="Times New Roman" w:hAnsi="Times New Roman"/>
          <w:b w:val="0"/>
          <w:i w:val="0"/>
          <w:sz w:val="24"/>
        </w:rPr>
        <w:t>Промежуточная аттестация в форме тестирования: 20 вопросов, порог 70%, время — 40 минут.</w:t>
        <w:br/>
        <w:t>Оценка паспорта подразделения: исходные показатели основаны на данных; приоритеты относятся к зоне влияния участника; цели сформулированы измеримо.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устройства хозяйства электрификации и электроснабжения, функций и границ ответственности руководителей дистанции.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системы ключевых показателей дистанции и источников данных.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связи технических решений с охраной труда, экономическим результатом и надёжностью.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постановки измеримых целей и приоритизации на основе данных.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основных нормативных документов, регламентирующих деятельность дистанции электроснабжения.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Аудиторный формат: тренинг с элементами лекции, предусматривающий использование интерактивной презентации; анализ практических ситуаций (кейсов); самостоятельная работа участников над заданиями; групповая работа участников с консультациями преподавателя; стажировка на производственном объекте с участием преподавателя и работой в применимых автоматизированных системах управления.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2. Рабочая программа электронного курса «Нормативная база охраны труда и производственная безопасность»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9. Обеспечение безопасности движения поездов (индикаторы 9.1–9.3);</w:t>
        <w:br/>
        <w:t>10. Организация технической учёбы (индикаторы 10.1–10.3);</w:t>
        <w:br/>
        <w:t>2. Техническое содержание устройств контактной сети на станциях и перегонах (индикаторы 2.1–2.3 — в части безопасной эксплуатации);</w:t>
        <w:br/>
        <w:t>3. Техническое содержание линий электропередачи (электрических сетей) (индикаторы 3.1–3.3 — в части безопасной эксплуатации);</w:t>
        <w:br/>
        <w:t>4. Техническое содержание устройств тяговых и трансформаторных подстанций, линейных устройств систем тягового электроснабжения (индикаторы 4.1–4.4 — в части безопасной эксплуатации)</w:t>
        <w:br/>
        <w:br/>
        <w:t>Дополнительное основание: должностные обязанности целевой аудитории по обеспечению безопасных условий труда, охране труда, электробезопасности, пожарной и промышленной безопасности.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10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об обязанностях работодателя и руководителя в области охраны труда, порядка расследования и учёта несчастных случаев.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классификации опасных и вредных производственных факторов в хозяйстве электрификации и электроснабжения.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требованиях электробезопасности, пожарной и промышленной безопасности при эксплуатации устройств контактной сети, ЛЭП и подстанций.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видах и порядке проведения инструктажей, проверки знаний и допуска к работам.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Обязанности работодателя и руководителя в области охраны труда.</w:t>
      </w:r>
    </w:p>
    <w:p>
      <w:r>
        <w:rPr>
          <w:rFonts w:ascii="Times New Roman" w:hAnsi="Times New Roman"/>
          <w:b w:val="0"/>
          <w:i w:val="0"/>
          <w:sz w:val="24"/>
        </w:rPr>
        <w:t>Нормативная база: ТК РФ, отраслевые и локальные акты.</w:t>
      </w:r>
    </w:p>
    <w:p>
      <w:r>
        <w:rPr>
          <w:rFonts w:ascii="Times New Roman" w:hAnsi="Times New Roman"/>
          <w:b w:val="0"/>
          <w:i w:val="0"/>
          <w:sz w:val="24"/>
        </w:rPr>
        <w:t>Административная, дисциплинарная и уголовная ответственность.</w:t>
      </w:r>
    </w:p>
    <w:p>
      <w:r>
        <w:rPr>
          <w:rFonts w:ascii="Times New Roman" w:hAnsi="Times New Roman"/>
          <w:b w:val="0"/>
          <w:i w:val="0"/>
          <w:sz w:val="24"/>
        </w:rPr>
        <w:t>Порядок расследования и учёта несчастных случаев.</w:t>
      </w:r>
    </w:p>
    <w:p>
      <w:r>
        <w:rPr>
          <w:rFonts w:ascii="Times New Roman" w:hAnsi="Times New Roman"/>
          <w:b w:val="0"/>
          <w:i w:val="0"/>
          <w:sz w:val="24"/>
        </w:rPr>
        <w:t>Порядок действий руководителя при происшествии.</w:t>
      </w:r>
    </w:p>
    <w:p>
      <w:r>
        <w:rPr>
          <w:rFonts w:ascii="Times New Roman" w:hAnsi="Times New Roman"/>
          <w:b/>
          <w:i w:val="0"/>
          <w:sz w:val="24"/>
        </w:rPr>
        <w:t>Опасные и вредные производственные факторы в хозяйстве ТЭ.</w:t>
      </w:r>
    </w:p>
    <w:p>
      <w:r>
        <w:rPr>
          <w:rFonts w:ascii="Times New Roman" w:hAnsi="Times New Roman"/>
          <w:b w:val="0"/>
          <w:i w:val="0"/>
          <w:sz w:val="24"/>
        </w:rPr>
        <w:t>Классификация факторов.</w:t>
      </w:r>
    </w:p>
    <w:p>
      <w:r>
        <w:rPr>
          <w:rFonts w:ascii="Times New Roman" w:hAnsi="Times New Roman"/>
          <w:b w:val="0"/>
          <w:i w:val="0"/>
          <w:sz w:val="24"/>
        </w:rPr>
        <w:t>Специфика работ на контактной сети, ЛЭП и подстанциях.</w:t>
      </w:r>
    </w:p>
    <w:p>
      <w:r>
        <w:rPr>
          <w:rFonts w:ascii="Times New Roman" w:hAnsi="Times New Roman"/>
          <w:b w:val="0"/>
          <w:i w:val="0"/>
          <w:sz w:val="24"/>
        </w:rPr>
        <w:t>Средства индивидуальной и коллективной защиты.</w:t>
      </w:r>
    </w:p>
    <w:p>
      <w:r>
        <w:rPr>
          <w:rFonts w:ascii="Times New Roman" w:hAnsi="Times New Roman"/>
          <w:b/>
          <w:i w:val="0"/>
          <w:sz w:val="24"/>
        </w:rPr>
        <w:t>Требования электробезопасности, пожарной и промышленной безопасности.</w:t>
      </w:r>
    </w:p>
    <w:p>
      <w:r>
        <w:rPr>
          <w:rFonts w:ascii="Times New Roman" w:hAnsi="Times New Roman"/>
          <w:b w:val="0"/>
          <w:i w:val="0"/>
          <w:sz w:val="24"/>
        </w:rPr>
        <w:t>Группы по электробезопасности, порядок присвоения.</w:t>
      </w:r>
    </w:p>
    <w:p>
      <w:r>
        <w:rPr>
          <w:rFonts w:ascii="Times New Roman" w:hAnsi="Times New Roman"/>
          <w:b w:val="0"/>
          <w:i w:val="0"/>
          <w:sz w:val="24"/>
        </w:rPr>
        <w:t>Требования пожарной безопасности на объектах Трансэнерго.</w:t>
      </w:r>
    </w:p>
    <w:p>
      <w:r>
        <w:rPr>
          <w:rFonts w:ascii="Times New Roman" w:hAnsi="Times New Roman"/>
          <w:b w:val="0"/>
          <w:i w:val="0"/>
          <w:sz w:val="24"/>
        </w:rPr>
        <w:t>Требования промышленной безопасности при эксплуатации опасных производственных объектов.</w:t>
      </w:r>
    </w:p>
    <w:p>
      <w:r>
        <w:rPr>
          <w:rFonts w:ascii="Times New Roman" w:hAnsi="Times New Roman"/>
          <w:b/>
          <w:i w:val="0"/>
          <w:sz w:val="24"/>
        </w:rPr>
        <w:t>Инструктажи, проверка знаний и допуск к работам.</w:t>
      </w:r>
    </w:p>
    <w:p>
      <w:r>
        <w:rPr>
          <w:rFonts w:ascii="Times New Roman" w:hAnsi="Times New Roman"/>
          <w:b w:val="0"/>
          <w:i w:val="0"/>
          <w:sz w:val="24"/>
        </w:rPr>
        <w:t>Виды инструктажей, периодичность, порядок проведения.</w:t>
      </w:r>
    </w:p>
    <w:p>
      <w:r>
        <w:rPr>
          <w:rFonts w:ascii="Times New Roman" w:hAnsi="Times New Roman"/>
          <w:b w:val="0"/>
          <w:i w:val="0"/>
          <w:sz w:val="24"/>
        </w:rPr>
        <w:t>Организация проверки знаний.</w:t>
      </w:r>
    </w:p>
    <w:p>
      <w:r>
        <w:rPr>
          <w:rFonts w:ascii="Times New Roman" w:hAnsi="Times New Roman"/>
          <w:b w:val="0"/>
          <w:i w:val="0"/>
          <w:sz w:val="24"/>
        </w:rPr>
        <w:t>Порядок допуска к работам.</w:t>
      </w:r>
    </w:p>
    <w:p>
      <w:r>
        <w:rPr>
          <w:rFonts w:ascii="Times New Roman" w:hAnsi="Times New Roman"/>
          <w:b w:val="0"/>
          <w:i w:val="0"/>
          <w:sz w:val="24"/>
        </w:rPr>
        <w:t>Видеообращения руководителей и экспертов Трансэнерго: реальные случаи и уроки.</w:t>
      </w:r>
    </w:p>
    <w:p>
      <w:r>
        <w:rPr>
          <w:rFonts w:ascii="Times New Roman" w:hAnsi="Times New Roman"/>
          <w:b/>
          <w:i w:val="0"/>
          <w:sz w:val="24"/>
        </w:rPr>
        <w:t>Практическое задание на рабочем месте.</w:t>
      </w:r>
    </w:p>
    <w:p>
      <w:r>
        <w:rPr>
          <w:rFonts w:ascii="Times New Roman" w:hAnsi="Times New Roman"/>
          <w:b w:val="0"/>
          <w:i w:val="0"/>
          <w:sz w:val="24"/>
        </w:rPr>
        <w:t>Собрать один реальный случай или проблему по охране труда в своём подразделении.</w:t>
      </w:r>
    </w:p>
    <w:p>
      <w:r>
        <w:rPr>
          <w:rFonts w:ascii="Times New Roman" w:hAnsi="Times New Roman"/>
          <w:b w:val="0"/>
          <w:i w:val="0"/>
          <w:sz w:val="24"/>
        </w:rPr>
        <w:t>Уточнить исходные показатели паспорта подразделения.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обязанностей работодателя и руководителя в области охраны труда.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классификации опасных и вредных производственных факторов в хозяйстве ТЭ.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требований электробезопасности, пожарной и промышленной безопасности.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видов и порядка проведения инструктажей, проверки знаний и допуска к работам.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Электронное обучение: самостоятельное изучение учебного материала с помощью электронного обучения (текстовые материалы, видеозаписи выступлений руководителей и экспертов Трансэнерго); самостоятельная работа участников над заданиями; выполнение практического задания на рабочем месте.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3. Рабочая программа учебного модуля «Охрана труда: от знания требований к безопасному исполнению»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9. Обеспечение безопасности движения поездов (индикаторы 9.1–9.3);</w:t>
        <w:br/>
        <w:t>10. Организация технической учёбы (индикаторы 10.1–10.3);</w:t>
        <w:br/>
        <w:t>2. Техническое содержание устройств контактной сети на станциях и перегонах (индикаторы 2.1–2.3 — в части безопасной эксплуатации);</w:t>
        <w:br/>
        <w:t>3. Техническое содержание линий электропередачи (электрических сетей) (индикаторы 3.1–3.3 — в части безопасной эксплуатации);</w:t>
        <w:br/>
        <w:t>4. Техническое содержание устройств тяговых и трансформаторных подстанций, линейных устройств систем тягового электроснабжения (индикаторы 4.1–4.4 — в части безопасной эксплуатации)</w:t>
        <w:br/>
        <w:br/>
        <w:t>Дополнительное основание: должностные обязанности начальника дистанции, главного инженера и заместителей по обеспечению безопасных условий труда, охране труда, электробезопасности, пожарной и промышленной безопасности. Отдельная профессиональная компетенция «Охрана труда» в модели 757/р отсутствует; содержание модуля дополнено на основании должностных обязанностей целевой аудитории.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40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об обязанностях и ответственности руководителя в области охраны труда, электробезопасности, пожарной и промышленной безопасности.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причинах разрыва между знанием требований охраны труда и их исполнением в производственной практике.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методах выявления и анализа опасных действий и условий, факторах производственного риска.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об инструментах руководителя: наблюдение, обратная связь, инструктаж, проверка знаний, контроль исполнения.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ведущих и итоговых показателях в области охраны труда и методике их применения для управления безопасностью.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разработки, реализации и контроля корректирующих и предупреждающих мер.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Обязанности и ответственность руководителя в области охраны труда.</w:t>
      </w:r>
    </w:p>
    <w:p>
      <w:r>
        <w:rPr>
          <w:rFonts w:ascii="Times New Roman" w:hAnsi="Times New Roman"/>
          <w:b w:val="0"/>
          <w:i w:val="0"/>
          <w:sz w:val="24"/>
        </w:rPr>
        <w:t>Нормативная база: обязанности работодателя и руководителя.</w:t>
      </w:r>
    </w:p>
    <w:p>
      <w:r>
        <w:rPr>
          <w:rFonts w:ascii="Times New Roman" w:hAnsi="Times New Roman"/>
          <w:b w:val="0"/>
          <w:i w:val="0"/>
          <w:sz w:val="24"/>
        </w:rPr>
        <w:t>Административная, дисциплинарная и уголовная ответственность.</w:t>
      </w:r>
    </w:p>
    <w:p>
      <w:r>
        <w:rPr>
          <w:rFonts w:ascii="Times New Roman" w:hAnsi="Times New Roman"/>
          <w:b w:val="0"/>
          <w:i w:val="0"/>
          <w:sz w:val="24"/>
        </w:rPr>
        <w:t>Различие охраны труда и безопасности движения.</w:t>
      </w:r>
    </w:p>
    <w:p>
      <w:r>
        <w:rPr>
          <w:rFonts w:ascii="Times New Roman" w:hAnsi="Times New Roman"/>
          <w:b w:val="0"/>
          <w:i w:val="0"/>
          <w:sz w:val="24"/>
        </w:rPr>
        <w:t>Возврат к М1: сверка паспорта и исходных данных.</w:t>
      </w:r>
    </w:p>
    <w:p>
      <w:r>
        <w:rPr>
          <w:rFonts w:ascii="Times New Roman" w:hAnsi="Times New Roman"/>
          <w:b/>
          <w:i w:val="0"/>
          <w:sz w:val="24"/>
        </w:rPr>
        <w:t>Причины неисполнения требований безопасности.</w:t>
      </w:r>
    </w:p>
    <w:p>
      <w:r>
        <w:rPr>
          <w:rFonts w:ascii="Times New Roman" w:hAnsi="Times New Roman"/>
          <w:b w:val="0"/>
          <w:i w:val="0"/>
          <w:sz w:val="24"/>
        </w:rPr>
        <w:t>Разбор реальных происшествий и опасных действий.</w:t>
      </w:r>
    </w:p>
    <w:p>
      <w:r>
        <w:rPr>
          <w:rFonts w:ascii="Times New Roman" w:hAnsi="Times New Roman"/>
          <w:b w:val="0"/>
          <w:i w:val="0"/>
          <w:sz w:val="24"/>
        </w:rPr>
        <w:t>Факторы риска: организационные, технические, человеческие.</w:t>
      </w:r>
    </w:p>
    <w:p>
      <w:r>
        <w:rPr>
          <w:rFonts w:ascii="Times New Roman" w:hAnsi="Times New Roman"/>
          <w:b w:val="0"/>
          <w:i w:val="0"/>
          <w:sz w:val="24"/>
        </w:rPr>
        <w:t>Карта причин и защитных барьеров.</w:t>
      </w:r>
    </w:p>
    <w:p>
      <w:r>
        <w:rPr>
          <w:rFonts w:ascii="Times New Roman" w:hAnsi="Times New Roman"/>
          <w:b w:val="0"/>
          <w:i w:val="0"/>
          <w:sz w:val="24"/>
        </w:rPr>
        <w:t>Культура безопасного труда: от формального выполнения к осознанному.</w:t>
      </w:r>
    </w:p>
    <w:p>
      <w:r>
        <w:rPr>
          <w:rFonts w:ascii="Times New Roman" w:hAnsi="Times New Roman"/>
          <w:b/>
          <w:i w:val="0"/>
          <w:sz w:val="24"/>
        </w:rPr>
        <w:t>Инструменты руководителя для управления безопасностью.</w:t>
      </w:r>
    </w:p>
    <w:p>
      <w:r>
        <w:rPr>
          <w:rFonts w:ascii="Times New Roman" w:hAnsi="Times New Roman"/>
          <w:b w:val="0"/>
          <w:i w:val="0"/>
          <w:sz w:val="24"/>
        </w:rPr>
        <w:t>Наблюдение за производственным процессом и обратная связь.</w:t>
      </w:r>
    </w:p>
    <w:p>
      <w:r>
        <w:rPr>
          <w:rFonts w:ascii="Times New Roman" w:hAnsi="Times New Roman"/>
          <w:b w:val="0"/>
          <w:i w:val="0"/>
          <w:sz w:val="24"/>
        </w:rPr>
        <w:t>Организация и проведение инструктажей.</w:t>
      </w:r>
    </w:p>
    <w:p>
      <w:r>
        <w:rPr>
          <w:rFonts w:ascii="Times New Roman" w:hAnsi="Times New Roman"/>
          <w:b w:val="0"/>
          <w:i w:val="0"/>
          <w:sz w:val="24"/>
        </w:rPr>
        <w:t>Проверка знаний и допуск к работам.</w:t>
      </w:r>
    </w:p>
    <w:p>
      <w:r>
        <w:rPr>
          <w:rFonts w:ascii="Times New Roman" w:hAnsi="Times New Roman"/>
          <w:b w:val="0"/>
          <w:i w:val="0"/>
          <w:sz w:val="24"/>
        </w:rPr>
        <w:t>Контроль исполнения требований и мероприятий.</w:t>
      </w:r>
    </w:p>
    <w:p>
      <w:r>
        <w:rPr>
          <w:rFonts w:ascii="Times New Roman" w:hAnsi="Times New Roman"/>
          <w:b w:val="0"/>
          <w:i w:val="0"/>
          <w:sz w:val="24"/>
        </w:rPr>
        <w:t>Работа с АСУ в части регистрации инструктажей, нарушений и контроля.</w:t>
      </w:r>
    </w:p>
    <w:p>
      <w:r>
        <w:rPr>
          <w:rFonts w:ascii="Times New Roman" w:hAnsi="Times New Roman"/>
          <w:b/>
          <w:i w:val="0"/>
          <w:sz w:val="24"/>
        </w:rPr>
        <w:t>Показатели охраны труда.</w:t>
      </w:r>
    </w:p>
    <w:p>
      <w:r>
        <w:rPr>
          <w:rFonts w:ascii="Times New Roman" w:hAnsi="Times New Roman"/>
          <w:b w:val="0"/>
          <w:i w:val="0"/>
          <w:sz w:val="24"/>
        </w:rPr>
        <w:t>Ведущие и итоговые показатели.</w:t>
      </w:r>
    </w:p>
    <w:p>
      <w:r>
        <w:rPr>
          <w:rFonts w:ascii="Times New Roman" w:hAnsi="Times New Roman"/>
          <w:b w:val="0"/>
          <w:i w:val="0"/>
          <w:sz w:val="24"/>
        </w:rPr>
        <w:t>Показатели раннего предупреждения.</w:t>
      </w:r>
    </w:p>
    <w:p>
      <w:r>
        <w:rPr>
          <w:rFonts w:ascii="Times New Roman" w:hAnsi="Times New Roman"/>
          <w:b w:val="0"/>
          <w:i w:val="0"/>
          <w:sz w:val="24"/>
        </w:rPr>
        <w:t>Постановка измеримых целей по охране труда.</w:t>
      </w:r>
    </w:p>
    <w:p>
      <w:r>
        <w:rPr>
          <w:rFonts w:ascii="Times New Roman" w:hAnsi="Times New Roman"/>
          <w:b/>
          <w:i w:val="0"/>
          <w:sz w:val="24"/>
        </w:rPr>
        <w:t>План действий руководителя по охране труда.</w:t>
      </w:r>
    </w:p>
    <w:p>
      <w:r>
        <w:rPr>
          <w:rFonts w:ascii="Times New Roman" w:hAnsi="Times New Roman"/>
          <w:b w:val="0"/>
          <w:i w:val="0"/>
          <w:sz w:val="24"/>
        </w:rPr>
        <w:t>Приоритизация рисков.</w:t>
      </w:r>
    </w:p>
    <w:p>
      <w:r>
        <w:rPr>
          <w:rFonts w:ascii="Times New Roman" w:hAnsi="Times New Roman"/>
          <w:b w:val="0"/>
          <w:i w:val="0"/>
          <w:sz w:val="24"/>
        </w:rPr>
        <w:t>Выбор мер под причины.</w:t>
      </w:r>
    </w:p>
    <w:p>
      <w:r>
        <w:rPr>
          <w:rFonts w:ascii="Times New Roman" w:hAnsi="Times New Roman"/>
          <w:b w:val="0"/>
          <w:i w:val="0"/>
          <w:sz w:val="24"/>
        </w:rPr>
        <w:t>Ресурсы, владельцы, сроки и контрольные точки.</w:t>
      </w:r>
    </w:p>
    <w:p>
      <w:r>
        <w:rPr>
          <w:rFonts w:ascii="Times New Roman" w:hAnsi="Times New Roman"/>
          <w:b w:val="0"/>
          <w:i w:val="0"/>
          <w:sz w:val="24"/>
        </w:rPr>
        <w:t>Формирование раздела «Охрана труда» единой годовой программы подразделения.</w:t>
      </w:r>
    </w:p>
    <w:p>
      <w:r>
        <w:rPr>
          <w:rFonts w:ascii="Times New Roman" w:hAnsi="Times New Roman"/>
          <w:b/>
          <w:i w:val="0"/>
          <w:sz w:val="24"/>
        </w:rPr>
        <w:t>Аттестация:</w:t>
      </w:r>
    </w:p>
    <w:p>
      <w:r>
        <w:rPr>
          <w:rFonts w:ascii="Times New Roman" w:hAnsi="Times New Roman"/>
          <w:b w:val="0"/>
          <w:i w:val="0"/>
          <w:sz w:val="24"/>
        </w:rPr>
        <w:t>Промежуточная аттестация в форме тестирования: 20 вопросов, порог 70%, время — 40 минут.</w:t>
        <w:br/>
        <w:t>Оценка раздела «Охрана труда»: меры устраняют причины, а не только последствия; определены владельцы, сроки и показатели результата; одно действие проверено на рабочем месте.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обязанностей и ответственности руководителя в области охраны труда, электробезопасности, пожарной и промышленной безопасности.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причин разрыва между знанием требований и их исполнением, методов выявления опасных действий и условий.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инструментов руководителя: наблюдение, обратная связь, инструктаж, контроль исполнения.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применения ведущих и итоговых показателей охраны труда.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разработки и контроля корректирующих и предупреждающих мер.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Аудиторный формат: тренинг с элементами лекции, предусматривающий использование интерактивной презентации; анализ практических ситуаций (кейсов); самостоятельная работа участников над заданиями; групповая работа участников с консультациями преподавателя; стажировка на производственном объекте с участием преподавателя и работой в применимых автоматизированных системах управления.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4. Рабочая программа электронного курса «Экономика дистанции электроснабжения»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6. Электросетевая деятельность (индикаторы 6.1–6.4);</w:t>
        <w:br/>
        <w:t>1. Оборудование и устройства Трансэнерго (индикаторы 1.1–1.3);</w:t>
        <w:br/>
        <w:t>5. Строительство, модернизация и капитальный ремонт объектов основных средств Трансэнерго (индикаторы 5.1–5.4)</w:t>
        <w:br/>
        <w:br/>
        <w:t>Дополнительное основание: должностные обязанности целевой аудитории по выполнению производственно-финансовых показателей, планированию бюджетов и анализу электропотребления.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10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структуре доходов и расходов хозяйства электрификации и электроснабжения.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технологическом присоединении к электрическим сетям как источнике дохода.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составления балансов электрической энергии и выявления потерь.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связи технического состояния оборудования с экономическими показателями дистанции.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Структура доходов и расходов Трансэнерго.</w:t>
      </w:r>
    </w:p>
    <w:p>
      <w:r>
        <w:rPr>
          <w:rFonts w:ascii="Times New Roman" w:hAnsi="Times New Roman"/>
          <w:b w:val="0"/>
          <w:i w:val="0"/>
          <w:sz w:val="24"/>
        </w:rPr>
        <w:t>Источники доходов: сетевая и нетарифная деятельность.</w:t>
      </w:r>
    </w:p>
    <w:p>
      <w:r>
        <w:rPr>
          <w:rFonts w:ascii="Times New Roman" w:hAnsi="Times New Roman"/>
          <w:b w:val="0"/>
          <w:i w:val="0"/>
          <w:sz w:val="24"/>
        </w:rPr>
        <w:t>Структура расходов дистанции электроснабжения.</w:t>
      </w:r>
    </w:p>
    <w:p>
      <w:r>
        <w:rPr>
          <w:rFonts w:ascii="Times New Roman" w:hAnsi="Times New Roman"/>
          <w:b w:val="0"/>
          <w:i w:val="0"/>
          <w:sz w:val="24"/>
        </w:rPr>
        <w:t>Цепочка «решение подразделения → результат филиала».</w:t>
      </w:r>
    </w:p>
    <w:p>
      <w:r>
        <w:rPr>
          <w:rFonts w:ascii="Times New Roman" w:hAnsi="Times New Roman"/>
          <w:b/>
          <w:i w:val="0"/>
          <w:sz w:val="24"/>
        </w:rPr>
        <w:t>Технологическое присоединение к электрическим сетям.</w:t>
      </w:r>
    </w:p>
    <w:p>
      <w:r>
        <w:rPr>
          <w:rFonts w:ascii="Times New Roman" w:hAnsi="Times New Roman"/>
          <w:b w:val="0"/>
          <w:i w:val="0"/>
          <w:sz w:val="24"/>
        </w:rPr>
        <w:t>Порядок и этапы технологического присоединения.</w:t>
      </w:r>
    </w:p>
    <w:p>
      <w:r>
        <w:rPr>
          <w:rFonts w:ascii="Times New Roman" w:hAnsi="Times New Roman"/>
          <w:b w:val="0"/>
          <w:i w:val="0"/>
          <w:sz w:val="24"/>
        </w:rPr>
        <w:t>Влияние сроков и стоимости на доход.</w:t>
      </w:r>
    </w:p>
    <w:p>
      <w:r>
        <w:rPr>
          <w:rFonts w:ascii="Times New Roman" w:hAnsi="Times New Roman"/>
          <w:b w:val="0"/>
          <w:i w:val="0"/>
          <w:sz w:val="24"/>
        </w:rPr>
        <w:t>Роль руководителя дистанции в процессе присоединения.</w:t>
      </w:r>
    </w:p>
    <w:p>
      <w:r>
        <w:rPr>
          <w:rFonts w:ascii="Times New Roman" w:hAnsi="Times New Roman"/>
          <w:b/>
          <w:i w:val="0"/>
          <w:sz w:val="24"/>
        </w:rPr>
        <w:t>Балансы электрической энергии и потери.</w:t>
      </w:r>
    </w:p>
    <w:p>
      <w:r>
        <w:rPr>
          <w:rFonts w:ascii="Times New Roman" w:hAnsi="Times New Roman"/>
          <w:b w:val="0"/>
          <w:i w:val="0"/>
          <w:sz w:val="24"/>
        </w:rPr>
        <w:t>Порядок распределения и учёта электроэнергии.</w:t>
      </w:r>
    </w:p>
    <w:p>
      <w:r>
        <w:rPr>
          <w:rFonts w:ascii="Times New Roman" w:hAnsi="Times New Roman"/>
          <w:b w:val="0"/>
          <w:i w:val="0"/>
          <w:sz w:val="24"/>
        </w:rPr>
        <w:t>Составление балансов.</w:t>
      </w:r>
    </w:p>
    <w:p>
      <w:r>
        <w:rPr>
          <w:rFonts w:ascii="Times New Roman" w:hAnsi="Times New Roman"/>
          <w:b w:val="0"/>
          <w:i w:val="0"/>
          <w:sz w:val="24"/>
        </w:rPr>
        <w:t>Выявление и снижение потерь.</w:t>
      </w:r>
    </w:p>
    <w:p>
      <w:r>
        <w:rPr>
          <w:rFonts w:ascii="Times New Roman" w:hAnsi="Times New Roman"/>
          <w:b w:val="0"/>
          <w:i w:val="0"/>
          <w:sz w:val="24"/>
        </w:rPr>
        <w:t>Несанкционированное потребление: выявление и меры.</w:t>
      </w:r>
    </w:p>
    <w:p>
      <w:r>
        <w:rPr>
          <w:rFonts w:ascii="Times New Roman" w:hAnsi="Times New Roman"/>
          <w:b/>
          <w:i w:val="0"/>
          <w:sz w:val="24"/>
        </w:rPr>
        <w:t>Техническое состояние и экономика.</w:t>
      </w:r>
    </w:p>
    <w:p>
      <w:r>
        <w:rPr>
          <w:rFonts w:ascii="Times New Roman" w:hAnsi="Times New Roman"/>
          <w:b w:val="0"/>
          <w:i w:val="0"/>
          <w:sz w:val="24"/>
        </w:rPr>
        <w:t>Связь состава оборудования и ремонта с потерями и выручкой.</w:t>
      </w:r>
    </w:p>
    <w:p>
      <w:r>
        <w:rPr>
          <w:rFonts w:ascii="Times New Roman" w:hAnsi="Times New Roman"/>
          <w:b w:val="0"/>
          <w:i w:val="0"/>
          <w:sz w:val="24"/>
        </w:rPr>
        <w:t>Капитальный ремонт и модернизация как инвестиционное решение.</w:t>
      </w:r>
    </w:p>
    <w:p>
      <w:r>
        <w:rPr>
          <w:rFonts w:ascii="Times New Roman" w:hAnsi="Times New Roman"/>
          <w:b w:val="0"/>
          <w:i w:val="0"/>
          <w:sz w:val="24"/>
        </w:rPr>
        <w:t>Видеообращения руководителей Трансэнерго: экономика глазами практика.</w:t>
      </w:r>
    </w:p>
    <w:p>
      <w:r>
        <w:rPr>
          <w:rFonts w:ascii="Times New Roman" w:hAnsi="Times New Roman"/>
          <w:b/>
          <w:i w:val="0"/>
          <w:sz w:val="24"/>
        </w:rPr>
        <w:t>Практическое задание на рабочем месте.</w:t>
      </w:r>
    </w:p>
    <w:p>
      <w:r>
        <w:rPr>
          <w:rFonts w:ascii="Times New Roman" w:hAnsi="Times New Roman"/>
          <w:b w:val="0"/>
          <w:i w:val="0"/>
          <w:sz w:val="24"/>
        </w:rPr>
        <w:t>Проверить действие одного защитного барьера по охране труда.</w:t>
      </w:r>
    </w:p>
    <w:p>
      <w:r>
        <w:rPr>
          <w:rFonts w:ascii="Times New Roman" w:hAnsi="Times New Roman"/>
          <w:b w:val="0"/>
          <w:i w:val="0"/>
          <w:sz w:val="24"/>
        </w:rPr>
        <w:t>Подготовить исходные экономические данные своего подразделения для модуля «Увеличение доходов».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структуры доходов и расходов хозяйства электрификации и электроснабжения.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порядка технологического присоединения к электрическим сетям.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составления балансов электрической энергии и выявления потерь.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связи технического состояния оборудования с экономическими показателями.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Электронное обучение: самостоятельное изучение учебного материала с помощью электронного обучения (текстовые материалы, видеозаписи выступлений руководителей и экспертов Трансэнерго); самостоятельная работа участников над заданиями; выполнение практического задания на рабочем месте.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5. Рабочая программа учебного модуля «Увеличение доходов и экономическая эффективность»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6. Электросетевая деятельность (индикаторы 6.1–6.4);</w:t>
        <w:br/>
        <w:t>1. Оборудование и устройства Трансэнерго (индикаторы 1.1–1.3);</w:t>
        <w:br/>
        <w:t>2. Техническое содержание устройств контактной сети на станциях и перегонах (индикаторы 2.1–2.3);</w:t>
        <w:br/>
        <w:t>3. Техническое содержание линий электропередачи (электрических сетей) (индикаторы 3.1–3.3);</w:t>
        <w:br/>
        <w:t>4. Техническое содержание устройств тяговых и трансформаторных подстанций, линейных устройств систем тягового электроснабжения (индикаторы 4.1–4.4);</w:t>
        <w:br/>
        <w:t>5. Строительство, модернизация и капитальный ремонт объектов основных средств Трансэнерго (индикаторы 5.1–5.4)</w:t>
        <w:br/>
        <w:br/>
        <w:t>Дополнительное основание: должностные обязанности начальника дистанции, главного инженера и заместителей по выполнению производственно-финансовых показателей, планированию бюджетов, анализу электропотребления и обеспечению стабильного экономического положения дистанции. Компетенция 6 входит в официальный перечень 757/р, но уровень по ней для целевых должностей не установлен.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40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об экономической цепочке Трансэнерго и зоне влияния руководителя дистанции на доходы.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технологическом присоединении, балансах электрической энергии, потерях и несанкционированном потреблении.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связи технических решений (состав оборудования, ремонт, модернизация) с экономическим результатом дистанции и филиала.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методике расчёта экономического эффекта инициативы и проверки допущений.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обоснования инициативы с учётом ресурсов, ограничений безопасности и надёжности.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Экономическая цепочка Трансэнерго и вклад дистанции.</w:t>
      </w:r>
    </w:p>
    <w:p>
      <w:r>
        <w:rPr>
          <w:rFonts w:ascii="Times New Roman" w:hAnsi="Times New Roman"/>
          <w:b w:val="0"/>
          <w:i w:val="0"/>
          <w:sz w:val="24"/>
        </w:rPr>
        <w:t>Структура доходов и расходов хозяйства.</w:t>
      </w:r>
    </w:p>
    <w:p>
      <w:r>
        <w:rPr>
          <w:rFonts w:ascii="Times New Roman" w:hAnsi="Times New Roman"/>
          <w:b w:val="0"/>
          <w:i w:val="0"/>
          <w:sz w:val="24"/>
        </w:rPr>
        <w:t>Цепочка «решение подразделения → результат филиала».</w:t>
      </w:r>
    </w:p>
    <w:p>
      <w:r>
        <w:rPr>
          <w:rFonts w:ascii="Times New Roman" w:hAnsi="Times New Roman"/>
          <w:b w:val="0"/>
          <w:i w:val="0"/>
          <w:sz w:val="24"/>
        </w:rPr>
        <w:t>Зона влияния начальника ЭЧ, главного инженера и заместителей на экономику.</w:t>
      </w:r>
    </w:p>
    <w:p>
      <w:r>
        <w:rPr>
          <w:rFonts w:ascii="Times New Roman" w:hAnsi="Times New Roman"/>
          <w:b w:val="0"/>
          <w:i w:val="0"/>
          <w:sz w:val="24"/>
        </w:rPr>
        <w:t>Ограничения: приоритет безопасности и надёжности.</w:t>
      </w:r>
    </w:p>
    <w:p>
      <w:r>
        <w:rPr>
          <w:rFonts w:ascii="Times New Roman" w:hAnsi="Times New Roman"/>
          <w:b w:val="0"/>
          <w:i w:val="0"/>
          <w:sz w:val="24"/>
        </w:rPr>
        <w:t>Возврат к М2: проверка инициатив по чек-листу охраны труда.</w:t>
      </w:r>
    </w:p>
    <w:p>
      <w:r>
        <w:rPr>
          <w:rFonts w:ascii="Times New Roman" w:hAnsi="Times New Roman"/>
          <w:b/>
          <w:i w:val="0"/>
          <w:sz w:val="24"/>
        </w:rPr>
        <w:t>Технологическое присоединение к электрическим сетям.</w:t>
      </w:r>
    </w:p>
    <w:p>
      <w:r>
        <w:rPr>
          <w:rFonts w:ascii="Times New Roman" w:hAnsi="Times New Roman"/>
          <w:b w:val="0"/>
          <w:i w:val="0"/>
          <w:sz w:val="24"/>
        </w:rPr>
        <w:t>Порядок и источники дохода.</w:t>
      </w:r>
    </w:p>
    <w:p>
      <w:r>
        <w:rPr>
          <w:rFonts w:ascii="Times New Roman" w:hAnsi="Times New Roman"/>
          <w:b w:val="0"/>
          <w:i w:val="0"/>
          <w:sz w:val="24"/>
        </w:rPr>
        <w:t>Влияние состояния оборудования на сроки и стоимость.</w:t>
      </w:r>
    </w:p>
    <w:p>
      <w:r>
        <w:rPr>
          <w:rFonts w:ascii="Times New Roman" w:hAnsi="Times New Roman"/>
          <w:b/>
          <w:i w:val="0"/>
          <w:sz w:val="24"/>
        </w:rPr>
        <w:t>Балансы, потери и несанкционированное потребление.</w:t>
      </w:r>
    </w:p>
    <w:p>
      <w:r>
        <w:rPr>
          <w:rFonts w:ascii="Times New Roman" w:hAnsi="Times New Roman"/>
          <w:b w:val="0"/>
          <w:i w:val="0"/>
          <w:sz w:val="24"/>
        </w:rPr>
        <w:t>Порядок распределения электроэнергии.</w:t>
      </w:r>
    </w:p>
    <w:p>
      <w:r>
        <w:rPr>
          <w:rFonts w:ascii="Times New Roman" w:hAnsi="Times New Roman"/>
          <w:b w:val="0"/>
          <w:i w:val="0"/>
          <w:sz w:val="24"/>
        </w:rPr>
        <w:t>Составление балансов.</w:t>
      </w:r>
    </w:p>
    <w:p>
      <w:r>
        <w:rPr>
          <w:rFonts w:ascii="Times New Roman" w:hAnsi="Times New Roman"/>
          <w:b w:val="0"/>
          <w:i w:val="0"/>
          <w:sz w:val="24"/>
        </w:rPr>
        <w:t>Выявление и снижение потерь и несанкционированного потребления.</w:t>
      </w:r>
    </w:p>
    <w:p>
      <w:r>
        <w:rPr>
          <w:rFonts w:ascii="Times New Roman" w:hAnsi="Times New Roman"/>
          <w:b w:val="0"/>
          <w:i w:val="0"/>
          <w:sz w:val="24"/>
        </w:rPr>
        <w:t>Работа с данными АСУ учёта электроэнергии.</w:t>
      </w:r>
    </w:p>
    <w:p>
      <w:r>
        <w:rPr>
          <w:rFonts w:ascii="Times New Roman" w:hAnsi="Times New Roman"/>
          <w:b/>
          <w:i w:val="0"/>
          <w:sz w:val="24"/>
        </w:rPr>
        <w:t>Экономический эффект технических решений.</w:t>
      </w:r>
    </w:p>
    <w:p>
      <w:r>
        <w:rPr>
          <w:rFonts w:ascii="Times New Roman" w:hAnsi="Times New Roman"/>
          <w:b w:val="0"/>
          <w:i w:val="0"/>
          <w:sz w:val="24"/>
        </w:rPr>
        <w:t>Связь состава оборудования и ремонта с потерями и выручкой.</w:t>
      </w:r>
    </w:p>
    <w:p>
      <w:r>
        <w:rPr>
          <w:rFonts w:ascii="Times New Roman" w:hAnsi="Times New Roman"/>
          <w:b w:val="0"/>
          <w:i w:val="0"/>
          <w:sz w:val="24"/>
        </w:rPr>
        <w:t>Оценка готовности к отопительному сезону как экономический фактор.</w:t>
      </w:r>
    </w:p>
    <w:p>
      <w:r>
        <w:rPr>
          <w:rFonts w:ascii="Times New Roman" w:hAnsi="Times New Roman"/>
          <w:b w:val="0"/>
          <w:i w:val="0"/>
          <w:sz w:val="24"/>
        </w:rPr>
        <w:t>НВВ, тариф и инвестиционные программы — на уровне понимания.</w:t>
      </w:r>
    </w:p>
    <w:p>
      <w:r>
        <w:rPr>
          <w:rFonts w:ascii="Times New Roman" w:hAnsi="Times New Roman"/>
          <w:b/>
          <w:i w:val="0"/>
          <w:sz w:val="24"/>
        </w:rPr>
        <w:t>Расчёт и обоснование инициативы.</w:t>
      </w:r>
    </w:p>
    <w:p>
      <w:r>
        <w:rPr>
          <w:rFonts w:ascii="Times New Roman" w:hAnsi="Times New Roman"/>
          <w:b w:val="0"/>
          <w:i w:val="0"/>
          <w:sz w:val="24"/>
        </w:rPr>
        <w:t>Определение исходной точки.</w:t>
      </w:r>
    </w:p>
    <w:p>
      <w:r>
        <w:rPr>
          <w:rFonts w:ascii="Times New Roman" w:hAnsi="Times New Roman"/>
          <w:b w:val="0"/>
          <w:i w:val="0"/>
          <w:sz w:val="24"/>
        </w:rPr>
        <w:t>Расчёт эффекта, ресурсов и срока окупаемости.</w:t>
      </w:r>
    </w:p>
    <w:p>
      <w:r>
        <w:rPr>
          <w:rFonts w:ascii="Times New Roman" w:hAnsi="Times New Roman"/>
          <w:b w:val="0"/>
          <w:i w:val="0"/>
          <w:sz w:val="24"/>
        </w:rPr>
        <w:t>Проверка допущений.</w:t>
      </w:r>
    </w:p>
    <w:p>
      <w:r>
        <w:rPr>
          <w:rFonts w:ascii="Times New Roman" w:hAnsi="Times New Roman"/>
          <w:b w:val="0"/>
          <w:i w:val="0"/>
          <w:sz w:val="24"/>
        </w:rPr>
        <w:t>Учёт рисков охраны труда и надёжности.</w:t>
      </w:r>
    </w:p>
    <w:p>
      <w:r>
        <w:rPr>
          <w:rFonts w:ascii="Times New Roman" w:hAnsi="Times New Roman"/>
          <w:b w:val="0"/>
          <w:i w:val="0"/>
          <w:sz w:val="24"/>
        </w:rPr>
        <w:t>Формирование раздела «Доходы» единой годовой программы подразделения.</w:t>
      </w:r>
    </w:p>
    <w:p>
      <w:r>
        <w:rPr>
          <w:rFonts w:ascii="Times New Roman" w:hAnsi="Times New Roman"/>
          <w:b/>
          <w:i w:val="0"/>
          <w:sz w:val="24"/>
        </w:rPr>
        <w:t>Аттестация:</w:t>
      </w:r>
    </w:p>
    <w:p>
      <w:r>
        <w:rPr>
          <w:rFonts w:ascii="Times New Roman" w:hAnsi="Times New Roman"/>
          <w:b w:val="0"/>
          <w:i w:val="0"/>
          <w:sz w:val="24"/>
        </w:rPr>
        <w:t>Промежуточная аттестация в форме тестирования: 20 вопросов, порог 70%, время — 40 минут.</w:t>
        <w:br/>
        <w:t>Оценка раздела «Доходы»: достоверная исходная точка; прозрачный расчёт эффекта; учтены ресурсы, ограничения безопасности и надёжности; допущения проверены с владельцем процесса.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экономической цепочки Трансэнерго и вклада дистанции в доходы.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порядка технологического присоединения, составления балансов и выявления потерь.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связи технических решений с экономическим результатом.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методики расчёта экономического эффекта и проверки допущений.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обоснования инициативы с учётом ресурсов и ограничений безопасности.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Аудиторный формат: тренинг с элементами лекции, предусматривающий использование интерактивной презентации; анализ практических ситуаций (кейсов); самостоятельная работа участников над заданиями; групповая работа участников с консультациями преподавателя; стажировка на производственном объекте с участием преподавателя и работой в применимых автоматизированных системах управления.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6. Рабочая программа электронного курса «Анализ отказов и подготовка данных о надёжности»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1. Оборудование и устройства Трансэнерго (индикаторы 1.1–1.3);</w:t>
        <w:br/>
        <w:t>2. Техническое содержание устройств контактной сети на станциях и перегонах (индикаторы 2.1–2.3);</w:t>
        <w:br/>
        <w:t>3. Техническое содержание линий электропередачи (электрических сетей) (индикаторы 3.1–3.3);</w:t>
        <w:br/>
        <w:t>4. Техническое содержание устройств тяговых и трансформаторных подстанций, линейных устройств систем тягового электроснабжения (индикаторы 4.1–4.4);</w:t>
        <w:br/>
        <w:t>9. Обеспечение безопасности движения поездов (индикаторы 9.1–9.3)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10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классификации отказов технических средств и технологических нарушений в хозяйстве электрификации и электроснабжения.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сбора и анализа данных об отказах для подготовки управленческих решений.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методах и средствах диагностики устройств контактной сети, ЛЭП и подстанций.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связи данных об отказах, диагностики и планирования ремонтов с экономическими показателями.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Классификация отказов и технологических нарушений.</w:t>
      </w:r>
    </w:p>
    <w:p>
      <w:r>
        <w:rPr>
          <w:rFonts w:ascii="Times New Roman" w:hAnsi="Times New Roman"/>
          <w:b w:val="0"/>
          <w:i w:val="0"/>
          <w:sz w:val="24"/>
        </w:rPr>
        <w:t>Виды отказов технических средств в хозяйстве ТЭ.</w:t>
      </w:r>
    </w:p>
    <w:p>
      <w:r>
        <w:rPr>
          <w:rFonts w:ascii="Times New Roman" w:hAnsi="Times New Roman"/>
          <w:b w:val="0"/>
          <w:i w:val="0"/>
          <w:sz w:val="24"/>
        </w:rPr>
        <w:t>Технологические нарушения: причины и последствия.</w:t>
      </w:r>
    </w:p>
    <w:p>
      <w:r>
        <w:rPr>
          <w:rFonts w:ascii="Times New Roman" w:hAnsi="Times New Roman"/>
          <w:b w:val="0"/>
          <w:i w:val="0"/>
          <w:sz w:val="24"/>
        </w:rPr>
        <w:t>Порядок учёта и отчётности.</w:t>
      </w:r>
    </w:p>
    <w:p>
      <w:r>
        <w:rPr>
          <w:rFonts w:ascii="Times New Roman" w:hAnsi="Times New Roman"/>
          <w:b/>
          <w:i w:val="0"/>
          <w:sz w:val="24"/>
        </w:rPr>
        <w:t>Сбор и анализ данных об отказах.</w:t>
      </w:r>
    </w:p>
    <w:p>
      <w:r>
        <w:rPr>
          <w:rFonts w:ascii="Times New Roman" w:hAnsi="Times New Roman"/>
          <w:b w:val="0"/>
          <w:i w:val="0"/>
          <w:sz w:val="24"/>
        </w:rPr>
        <w:t>Источники данных: АСУ, журналы, акты расследования.</w:t>
      </w:r>
    </w:p>
    <w:p>
      <w:r>
        <w:rPr>
          <w:rFonts w:ascii="Times New Roman" w:hAnsi="Times New Roman"/>
          <w:b w:val="0"/>
          <w:i w:val="0"/>
          <w:sz w:val="24"/>
        </w:rPr>
        <w:t>Методы анализа: тренды, частота, тяжесть последствий.</w:t>
      </w:r>
    </w:p>
    <w:p>
      <w:r>
        <w:rPr>
          <w:rFonts w:ascii="Times New Roman" w:hAnsi="Times New Roman"/>
          <w:b w:val="0"/>
          <w:i w:val="0"/>
          <w:sz w:val="24"/>
        </w:rPr>
        <w:t>Выявление системных причин и повторяющихся отказов.</w:t>
      </w:r>
    </w:p>
    <w:p>
      <w:r>
        <w:rPr>
          <w:rFonts w:ascii="Times New Roman" w:hAnsi="Times New Roman"/>
          <w:b/>
          <w:i w:val="0"/>
          <w:sz w:val="24"/>
        </w:rPr>
        <w:t>Методы и средства диагностики.</w:t>
      </w:r>
    </w:p>
    <w:p>
      <w:r>
        <w:rPr>
          <w:rFonts w:ascii="Times New Roman" w:hAnsi="Times New Roman"/>
          <w:b w:val="0"/>
          <w:i w:val="0"/>
          <w:sz w:val="24"/>
        </w:rPr>
        <w:t>Диагностика устройств контактной сети.</w:t>
      </w:r>
    </w:p>
    <w:p>
      <w:r>
        <w:rPr>
          <w:rFonts w:ascii="Times New Roman" w:hAnsi="Times New Roman"/>
          <w:b w:val="0"/>
          <w:i w:val="0"/>
          <w:sz w:val="24"/>
        </w:rPr>
        <w:t>Диагностика ЛЭП и подстанционного оборудования.</w:t>
      </w:r>
    </w:p>
    <w:p>
      <w:r>
        <w:rPr>
          <w:rFonts w:ascii="Times New Roman" w:hAnsi="Times New Roman"/>
          <w:b w:val="0"/>
          <w:i w:val="0"/>
          <w:sz w:val="24"/>
        </w:rPr>
        <w:t>Неразрушающий контроль.</w:t>
      </w:r>
    </w:p>
    <w:p>
      <w:r>
        <w:rPr>
          <w:rFonts w:ascii="Times New Roman" w:hAnsi="Times New Roman"/>
          <w:b w:val="0"/>
          <w:i w:val="0"/>
          <w:sz w:val="24"/>
        </w:rPr>
        <w:t>Планирование осмотров и измерений.</w:t>
      </w:r>
    </w:p>
    <w:p>
      <w:r>
        <w:rPr>
          <w:rFonts w:ascii="Times New Roman" w:hAnsi="Times New Roman"/>
          <w:b/>
          <w:i w:val="0"/>
          <w:sz w:val="24"/>
        </w:rPr>
        <w:t>От данных к решению.</w:t>
      </w:r>
    </w:p>
    <w:p>
      <w:r>
        <w:rPr>
          <w:rFonts w:ascii="Times New Roman" w:hAnsi="Times New Roman"/>
          <w:b w:val="0"/>
          <w:i w:val="0"/>
          <w:sz w:val="24"/>
        </w:rPr>
        <w:t>Связь отказов и диагностики с планированием ремонтов.</w:t>
      </w:r>
    </w:p>
    <w:p>
      <w:r>
        <w:rPr>
          <w:rFonts w:ascii="Times New Roman" w:hAnsi="Times New Roman"/>
          <w:b w:val="0"/>
          <w:i w:val="0"/>
          <w:sz w:val="24"/>
        </w:rPr>
        <w:t>Экономическая оценка последствий отказа.</w:t>
      </w:r>
    </w:p>
    <w:p>
      <w:r>
        <w:rPr>
          <w:rFonts w:ascii="Times New Roman" w:hAnsi="Times New Roman"/>
          <w:b w:val="0"/>
          <w:i w:val="0"/>
          <w:sz w:val="24"/>
        </w:rPr>
        <w:t>Видеообращения экспертов Трансэнерго: анализ реальных отказов.</w:t>
      </w:r>
    </w:p>
    <w:p>
      <w:r>
        <w:rPr>
          <w:rFonts w:ascii="Times New Roman" w:hAnsi="Times New Roman"/>
          <w:b/>
          <w:i w:val="0"/>
          <w:sz w:val="24"/>
        </w:rPr>
        <w:t>Практическое задание на рабочем месте.</w:t>
      </w:r>
    </w:p>
    <w:p>
      <w:r>
        <w:rPr>
          <w:rFonts w:ascii="Times New Roman" w:hAnsi="Times New Roman"/>
          <w:b w:val="0"/>
          <w:i w:val="0"/>
          <w:sz w:val="24"/>
        </w:rPr>
        <w:t>Проверить данные и допущения экономической инициативы с экономистом или владельцем процесса.</w:t>
      </w:r>
    </w:p>
    <w:p>
      <w:r>
        <w:rPr>
          <w:rFonts w:ascii="Times New Roman" w:hAnsi="Times New Roman"/>
          <w:b w:val="0"/>
          <w:i w:val="0"/>
          <w:sz w:val="24"/>
        </w:rPr>
        <w:t>Собрать данные об отказах и технических рисках своего подразделения для модуля «Повышение надёжности».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классификации отказов технических средств и технологических нарушений.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сбора и анализа данных об отказах.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основных методов и средств диагностики устройств ТЭ.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связи данных об отказах с планированием ремонтов и экономическими показателями.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Электронное обучение: самостоятельное изучение учебного материала с помощью электронного обучения (текстовые материалы, видеозаписи выступлений руководителей и экспертов Трансэнерго); самостоятельная работа участников над заданиями; выполнение практического задания на рабочем месте.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7. Рабочая программа учебного модуля «Повышение надёжности и защита программы»</w:t>
      </w:r>
    </w:p>
    <w:p>
      <w:r>
        <w:rPr>
          <w:rFonts w:ascii="Times New Roman" w:hAnsi="Times New Roman"/>
          <w:b/>
          <w:i w:val="0"/>
          <w:sz w:val="24"/>
        </w:rPr>
        <w:t>Развиваемые компетенции:</w:t>
      </w:r>
    </w:p>
    <w:p>
      <w:r>
        <w:rPr>
          <w:rFonts w:ascii="Times New Roman" w:hAnsi="Times New Roman"/>
          <w:b w:val="0"/>
          <w:i w:val="0"/>
          <w:sz w:val="24"/>
        </w:rPr>
        <w:t>1. Оборудование и устройства Трансэнерго (индикаторы 1.1–1.3);</w:t>
        <w:br/>
        <w:t>2. Техническое содержание устройств контактной сети на станциях и перегонах (индикаторы 2.1–2.3);</w:t>
        <w:br/>
        <w:t>3. Техническое содержание линий электропередачи (электрических сетей) (индикаторы 3.1–3.3);</w:t>
        <w:br/>
        <w:t>4. Техническое содержание устройств тяговых и трансформаторных подстанций, линейных устройств систем тягового электроснабжения (индикаторы 4.1–4.4);</w:t>
        <w:br/>
        <w:t>5. Строительство, модернизация и капитальный ремонт объектов основных средств Трансэнерго (индикаторы 5.1–5.4);</w:t>
        <w:br/>
        <w:t>9. Обеспечение безопасности движения поездов (индикаторы 9.1–9.3)</w:t>
        <w:br/>
        <w:br/>
        <w:t>Дополнительное основание: должностные обязанности по обеспечению надёжности, организации ремонта и модернизации, взаимодействию со смежными службами. Наиболее прямая привязка к официальной модели компетенций 757/р.</w:t>
      </w:r>
    </w:p>
    <w:p>
      <w:r>
        <w:rPr>
          <w:rFonts w:ascii="Times New Roman" w:hAnsi="Times New Roman"/>
          <w:b/>
          <w:i w:val="0"/>
          <w:sz w:val="24"/>
        </w:rPr>
        <w:t>Продолжительность обучения: 40 академических часов.</w:t>
      </w:r>
    </w:p>
    <w:p>
      <w:r>
        <w:rPr>
          <w:rFonts w:ascii="Times New Roman" w:hAnsi="Times New Roman"/>
          <w:b/>
          <w:i w:val="0"/>
          <w:sz w:val="24"/>
        </w:rPr>
        <w:t>Цели: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порядке анализа отказов и технологических нарушений, методах выявления системных причин.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контактной сети, ЛЭП и подстанциях как единой системе с точки зрения надёжности.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знаний о методах приоритизации объектов обслуживания и ремонта на основе данных о рисках и отказах.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выбора технических и управленческих мер повышения надёжности.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понимания о порядке интеграции трёх разделов единой годовой программы подразделения и защите комплексного решения.</w:t>
      </w:r>
    </w:p>
    <w:p>
      <w:r>
        <w:rPr>
          <w:rFonts w:ascii="Times New Roman" w:hAnsi="Times New Roman"/>
          <w:b/>
          <w:i w:val="0"/>
          <w:sz w:val="24"/>
        </w:rPr>
        <w:t>Содержание:</w:t>
      </w:r>
    </w:p>
    <w:p>
      <w:r>
        <w:rPr>
          <w:rFonts w:ascii="Times New Roman" w:hAnsi="Times New Roman"/>
          <w:b/>
          <w:i w:val="0"/>
          <w:sz w:val="24"/>
        </w:rPr>
        <w:t>Анализ отказов и управление техническими рисками.</w:t>
      </w:r>
    </w:p>
    <w:p>
      <w:r>
        <w:rPr>
          <w:rFonts w:ascii="Times New Roman" w:hAnsi="Times New Roman"/>
          <w:b w:val="0"/>
          <w:i w:val="0"/>
          <w:sz w:val="24"/>
        </w:rPr>
        <w:t>Отказы в работе технических средств и технологические нарушения.</w:t>
      </w:r>
    </w:p>
    <w:p>
      <w:r>
        <w:rPr>
          <w:rFonts w:ascii="Times New Roman" w:hAnsi="Times New Roman"/>
          <w:b w:val="0"/>
          <w:i w:val="0"/>
          <w:sz w:val="24"/>
        </w:rPr>
        <w:t>Методы анализа: дерево причин, факторный анализ.</w:t>
      </w:r>
    </w:p>
    <w:p>
      <w:r>
        <w:rPr>
          <w:rFonts w:ascii="Times New Roman" w:hAnsi="Times New Roman"/>
          <w:b w:val="0"/>
          <w:i w:val="0"/>
          <w:sz w:val="24"/>
        </w:rPr>
        <w:t>Качество расследования и корректирующих мер.</w:t>
      </w:r>
    </w:p>
    <w:p>
      <w:r>
        <w:rPr>
          <w:rFonts w:ascii="Times New Roman" w:hAnsi="Times New Roman"/>
          <w:b w:val="0"/>
          <w:i w:val="0"/>
          <w:sz w:val="24"/>
        </w:rPr>
        <w:t>Идентификация, мониторинг и управление рисками.</w:t>
      </w:r>
    </w:p>
    <w:p>
      <w:r>
        <w:rPr>
          <w:rFonts w:ascii="Times New Roman" w:hAnsi="Times New Roman"/>
          <w:b w:val="0"/>
          <w:i w:val="0"/>
          <w:sz w:val="24"/>
        </w:rPr>
        <w:t>Работа с данными АСУ мониторинга и диагностики.</w:t>
      </w:r>
    </w:p>
    <w:p>
      <w:r>
        <w:rPr>
          <w:rFonts w:ascii="Times New Roman" w:hAnsi="Times New Roman"/>
          <w:b w:val="0"/>
          <w:i w:val="0"/>
          <w:sz w:val="24"/>
        </w:rPr>
        <w:t>Возврат к М3: данные об отказах, проверенные в ММ3.</w:t>
      </w:r>
    </w:p>
    <w:p>
      <w:r>
        <w:rPr>
          <w:rFonts w:ascii="Times New Roman" w:hAnsi="Times New Roman"/>
          <w:b/>
          <w:i w:val="0"/>
          <w:sz w:val="24"/>
        </w:rPr>
        <w:t>Контактная сеть, ЛЭП и подстанции как единая система.</w:t>
      </w:r>
    </w:p>
    <w:p>
      <w:r>
        <w:rPr>
          <w:rFonts w:ascii="Times New Roman" w:hAnsi="Times New Roman"/>
          <w:b w:val="0"/>
          <w:i w:val="0"/>
          <w:sz w:val="24"/>
        </w:rPr>
        <w:t>Взаимное влияние отказов.</w:t>
      </w:r>
    </w:p>
    <w:p>
      <w:r>
        <w:rPr>
          <w:rFonts w:ascii="Times New Roman" w:hAnsi="Times New Roman"/>
          <w:b w:val="0"/>
          <w:i w:val="0"/>
          <w:sz w:val="24"/>
        </w:rPr>
        <w:t>Приоритизация объектов по уровню риска.</w:t>
      </w:r>
    </w:p>
    <w:p>
      <w:r>
        <w:rPr>
          <w:rFonts w:ascii="Times New Roman" w:hAnsi="Times New Roman"/>
          <w:b w:val="0"/>
          <w:i w:val="0"/>
          <w:sz w:val="24"/>
        </w:rPr>
        <w:t>Проблемные участки и системные причины.</w:t>
      </w:r>
    </w:p>
    <w:p>
      <w:r>
        <w:rPr>
          <w:rFonts w:ascii="Times New Roman" w:hAnsi="Times New Roman"/>
          <w:b/>
          <w:i w:val="0"/>
          <w:sz w:val="24"/>
        </w:rPr>
        <w:t>Содержание, ремонт и модернизация.</w:t>
      </w:r>
    </w:p>
    <w:p>
      <w:r>
        <w:rPr>
          <w:rFonts w:ascii="Times New Roman" w:hAnsi="Times New Roman"/>
          <w:b w:val="0"/>
          <w:i w:val="0"/>
          <w:sz w:val="24"/>
        </w:rPr>
        <w:t>Нормы содержания и порядок осмотра.</w:t>
      </w:r>
    </w:p>
    <w:p>
      <w:r>
        <w:rPr>
          <w:rFonts w:ascii="Times New Roman" w:hAnsi="Times New Roman"/>
          <w:b w:val="0"/>
          <w:i w:val="0"/>
          <w:sz w:val="24"/>
        </w:rPr>
        <w:t>Техническое обслуживание и ремонт.</w:t>
      </w:r>
    </w:p>
    <w:p>
      <w:r>
        <w:rPr>
          <w:rFonts w:ascii="Times New Roman" w:hAnsi="Times New Roman"/>
          <w:b w:val="0"/>
          <w:i w:val="0"/>
          <w:sz w:val="24"/>
        </w:rPr>
        <w:t>Капитальный ремонт и модернизация.</w:t>
      </w:r>
    </w:p>
    <w:p>
      <w:r>
        <w:rPr>
          <w:rFonts w:ascii="Times New Roman" w:hAnsi="Times New Roman"/>
          <w:b w:val="0"/>
          <w:i w:val="0"/>
          <w:sz w:val="24"/>
        </w:rPr>
        <w:t>Технический надзор и приёмка.</w:t>
      </w:r>
    </w:p>
    <w:p>
      <w:r>
        <w:rPr>
          <w:rFonts w:ascii="Times New Roman" w:hAnsi="Times New Roman"/>
          <w:b w:val="0"/>
          <w:i w:val="0"/>
          <w:sz w:val="24"/>
        </w:rPr>
        <w:t>Взаимодействие со смежными службами.</w:t>
      </w:r>
    </w:p>
    <w:p>
      <w:r>
        <w:rPr>
          <w:rFonts w:ascii="Times New Roman" w:hAnsi="Times New Roman"/>
          <w:b/>
          <w:i w:val="0"/>
          <w:sz w:val="24"/>
        </w:rPr>
        <w:t>Выбор и обоснование мер повышения надёжности.</w:t>
      </w:r>
    </w:p>
    <w:p>
      <w:r>
        <w:rPr>
          <w:rFonts w:ascii="Times New Roman" w:hAnsi="Times New Roman"/>
          <w:b w:val="0"/>
          <w:i w:val="0"/>
          <w:sz w:val="24"/>
        </w:rPr>
        <w:t>Критерии выбора: риск, ресурсы, эффект.</w:t>
      </w:r>
    </w:p>
    <w:p>
      <w:r>
        <w:rPr>
          <w:rFonts w:ascii="Times New Roman" w:hAnsi="Times New Roman"/>
          <w:b w:val="0"/>
          <w:i w:val="0"/>
          <w:sz w:val="24"/>
        </w:rPr>
        <w:t>Приоритизация при ограниченном бюджете.</w:t>
      </w:r>
    </w:p>
    <w:p>
      <w:r>
        <w:rPr>
          <w:rFonts w:ascii="Times New Roman" w:hAnsi="Times New Roman"/>
          <w:b w:val="0"/>
          <w:i w:val="0"/>
          <w:sz w:val="24"/>
        </w:rPr>
        <w:t>Проверка мер на реализуемость и влияние на безопасность.</w:t>
      </w:r>
    </w:p>
    <w:p>
      <w:r>
        <w:rPr>
          <w:rFonts w:ascii="Times New Roman" w:hAnsi="Times New Roman"/>
          <w:b w:val="0"/>
          <w:i w:val="0"/>
          <w:sz w:val="24"/>
        </w:rPr>
        <w:t>Сверка с разделами «Охрана труда» и «Доходы».</w:t>
      </w:r>
    </w:p>
    <w:p>
      <w:r>
        <w:rPr>
          <w:rFonts w:ascii="Times New Roman" w:hAnsi="Times New Roman"/>
          <w:b/>
          <w:i w:val="0"/>
          <w:sz w:val="24"/>
        </w:rPr>
        <w:t>Интеграция и защита единой годовой программы.</w:t>
      </w:r>
    </w:p>
    <w:p>
      <w:r>
        <w:rPr>
          <w:rFonts w:ascii="Times New Roman" w:hAnsi="Times New Roman"/>
          <w:b w:val="0"/>
          <w:i w:val="0"/>
          <w:sz w:val="24"/>
        </w:rPr>
        <w:t>Согласование трёх разделов: охрана труда, доходы, надёжность.</w:t>
      </w:r>
    </w:p>
    <w:p>
      <w:r>
        <w:rPr>
          <w:rFonts w:ascii="Times New Roman" w:hAnsi="Times New Roman"/>
          <w:b w:val="0"/>
          <w:i w:val="0"/>
          <w:sz w:val="24"/>
        </w:rPr>
        <w:t>Устранение противоречий.</w:t>
      </w:r>
    </w:p>
    <w:p>
      <w:r>
        <w:rPr>
          <w:rFonts w:ascii="Times New Roman" w:hAnsi="Times New Roman"/>
          <w:b w:val="0"/>
          <w:i w:val="0"/>
          <w:sz w:val="24"/>
        </w:rPr>
        <w:t>План первых 90 дней: действия, владельцы, контрольные точки.</w:t>
      </w:r>
    </w:p>
    <w:p>
      <w:r>
        <w:rPr>
          <w:rFonts w:ascii="Times New Roman" w:hAnsi="Times New Roman"/>
          <w:b w:val="0"/>
          <w:i w:val="0"/>
          <w:sz w:val="24"/>
        </w:rPr>
        <w:t>Защита программы.</w:t>
      </w:r>
    </w:p>
    <w:p>
      <w:r>
        <w:rPr>
          <w:rFonts w:ascii="Times New Roman" w:hAnsi="Times New Roman"/>
          <w:b w:val="0"/>
          <w:i w:val="0"/>
          <w:sz w:val="24"/>
        </w:rPr>
        <w:t>Итоговая диагностика профессиональных знаний.</w:t>
      </w:r>
    </w:p>
    <w:p>
      <w:r>
        <w:rPr>
          <w:rFonts w:ascii="Times New Roman" w:hAnsi="Times New Roman"/>
          <w:b/>
          <w:i w:val="0"/>
          <w:sz w:val="24"/>
        </w:rPr>
        <w:t>Аттестация:</w:t>
      </w:r>
    </w:p>
    <w:p>
      <w:r>
        <w:rPr>
          <w:rFonts w:ascii="Times New Roman" w:hAnsi="Times New Roman"/>
          <w:b w:val="0"/>
          <w:i w:val="0"/>
          <w:sz w:val="24"/>
        </w:rPr>
        <w:t>Итоговая аттестация в форме тестирования: 40 вопросов, порог 70%, время — 60 минут, две попытки.</w:t>
        <w:br/>
        <w:t>Защита единой годовой программы подразделения: приоритеты основаны на отказах и рисках; меры реалистичны и обеспечены ресурсами; три раздела не противоречат друг другу; определён план первых 90 дней.</w:t>
      </w:r>
    </w:p>
    <w:p>
      <w:r>
        <w:rPr>
          <w:rFonts w:ascii="Times New Roman" w:hAnsi="Times New Roman"/>
          <w:b/>
          <w:i w:val="0"/>
          <w:sz w:val="24"/>
        </w:rPr>
        <w:t>Планируемые результаты: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порядка анализа отказов и технологических нарушений.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контактной сети, ЛЭП и подстанций как единой системы с точки зрения надёжности.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Знание методов приоритизации объектов обслуживания и ремонта на основе данных о рисках.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выбора и обоснования технических и управленческих мер.</w:t>
      </w:r>
    </w:p>
    <w:p>
      <w:pPr>
        <w:pStyle w:val="ListBullet"/>
      </w:pPr>
      <w:r>
        <w:rPr>
          <w:rFonts w:ascii="Times New Roman" w:hAnsi="Times New Roman"/>
          <w:sz w:val="24"/>
        </w:rPr>
        <w:t>Понимание порядка интеграции трёх разделов единой годовой программы подразделения.</w:t>
      </w:r>
    </w:p>
    <w:p>
      <w:r>
        <w:rPr>
          <w:rFonts w:ascii="Times New Roman" w:hAnsi="Times New Roman"/>
          <w:b/>
          <w:i w:val="0"/>
          <w:sz w:val="24"/>
        </w:rPr>
        <w:t>Виды учебных занятий и учебных работ:</w:t>
      </w:r>
    </w:p>
    <w:p>
      <w:r>
        <w:rPr>
          <w:rFonts w:ascii="Times New Roman" w:hAnsi="Times New Roman"/>
          <w:b w:val="0"/>
          <w:i w:val="0"/>
          <w:sz w:val="24"/>
        </w:rPr>
        <w:t>Аудиторный формат: тренинг с элементами лекции, предусматривающий использование интерактивной презентации; анализ практических ситуаций (кейсов); самостоятельная работа участников над заданиями; групповая работа участников с консультациями преподавателя; стажировка на производственном объекте с участием преподавателя и работой в применимых автоматизированных системах управления.</w:t>
      </w:r>
    </w:p>
    <w:p>
      <w:r>
        <w:rPr>
          <w:rFonts w:ascii="Times New Roman" w:hAnsi="Times New Roman"/>
          <w:b/>
          <w:i w:val="0"/>
          <w:sz w:val="24"/>
        </w:rPr>
        <w:t>Отраслевые и нормативные документы: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rPr>
          <w:rFonts w:ascii="Times New Roman" w:hAnsi="Times New Roman"/>
          <w:b/>
          <w:i w:val="0"/>
          <w:sz w:val="24"/>
        </w:rPr>
        <w:t>Список рекомендуемой литературы:</w:t>
      </w:r>
    </w:p>
    <w:p>
      <w:r>
        <w:rPr>
          <w:rFonts w:ascii="Times New Roman" w:hAnsi="Times New Roman"/>
          <w:b w:val="0"/>
          <w:i w:val="0"/>
          <w:sz w:val="24"/>
        </w:rPr>
        <w:t>— на стадии подбора и согласования с владельцами содержания.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А. Индикаторы модели компетенций 757/р</w:t>
      </w:r>
    </w:p>
    <w:p>
      <w:r>
        <w:rPr>
          <w:rFonts w:ascii="Times New Roman" w:hAnsi="Times New Roman"/>
          <w:b w:val="0"/>
          <w:i/>
          <w:sz w:val="24"/>
        </w:rPr>
        <w:t>Ниже приведены полные формулировки индикаторов модели профессиональных компетенций, утверждённой распоряжением ОАО «РЖД» от 29.03.2023 № 757/р, применимых к программе «Профессионал+. Энергия».</w:t>
      </w:r>
    </w:p>
    <w:p>
      <w:r>
        <w:rPr>
          <w:rFonts w:ascii="Times New Roman" w:hAnsi="Times New Roman"/>
          <w:b/>
          <w:i w:val="0"/>
          <w:sz w:val="24"/>
        </w:rPr>
        <w:t>Компетенция 1:</w:t>
      </w:r>
    </w:p>
    <w:p>
      <w:r>
        <w:rPr>
          <w:rFonts w:ascii="Times New Roman" w:hAnsi="Times New Roman"/>
          <w:b w:val="0"/>
          <w:i w:val="0"/>
          <w:sz w:val="24"/>
        </w:rPr>
        <w:t>1.1. Оборудование тяговых и трансформаторных подстанций, порядок их работы; 1.2. Устройства контактной сети, порядок их работы; 1.3. Порядок допуска и постановки на производство электротехнической продукции.</w:t>
      </w:r>
    </w:p>
    <w:p>
      <w:r>
        <w:rPr>
          <w:rFonts w:ascii="Times New Roman" w:hAnsi="Times New Roman"/>
          <w:b/>
          <w:i w:val="0"/>
          <w:sz w:val="24"/>
        </w:rPr>
        <w:t>Компетенция 2:</w:t>
      </w:r>
    </w:p>
    <w:p>
      <w:r>
        <w:rPr>
          <w:rFonts w:ascii="Times New Roman" w:hAnsi="Times New Roman"/>
          <w:b w:val="0"/>
          <w:i w:val="0"/>
          <w:sz w:val="24"/>
        </w:rPr>
        <w:t>2.1. Нормы содержания и порядок осмотра устройств контактной сети на станциях и перегонах; 2.2. Техническое обслуживание и ремонт устройств контактной сети; 2.3. Взаимодействие Трансэнерго со смежными службами при проведении работ по ремонту и реконструкции устройств контактной сети.</w:t>
      </w:r>
    </w:p>
    <w:p>
      <w:r>
        <w:rPr>
          <w:rFonts w:ascii="Times New Roman" w:hAnsi="Times New Roman"/>
          <w:b/>
          <w:i w:val="0"/>
          <w:sz w:val="24"/>
        </w:rPr>
        <w:t>Компетенция 3:</w:t>
      </w:r>
    </w:p>
    <w:p>
      <w:r>
        <w:rPr>
          <w:rFonts w:ascii="Times New Roman" w:hAnsi="Times New Roman"/>
          <w:b w:val="0"/>
          <w:i w:val="0"/>
          <w:sz w:val="24"/>
        </w:rPr>
        <w:t>3.1. Нормы содержания и порядок осмотра линий электропередачи (электрических сетей) Трансэнерго; 3.2. Техническое обслуживание и ремонт линий электропередачи (электрических сетей) Трансэнерго; 3.3. Взаимодействие Трансэнерго со смежными службами при планировании и организации работ по содержанию линий электропередачи (электрических сетей) Трансэнерго.</w:t>
      </w:r>
    </w:p>
    <w:p>
      <w:r>
        <w:rPr>
          <w:rFonts w:ascii="Times New Roman" w:hAnsi="Times New Roman"/>
          <w:b/>
          <w:i w:val="0"/>
          <w:sz w:val="24"/>
        </w:rPr>
        <w:t>Компетенция 4:</w:t>
      </w:r>
    </w:p>
    <w:p>
      <w:r>
        <w:rPr>
          <w:rFonts w:ascii="Times New Roman" w:hAnsi="Times New Roman"/>
          <w:b w:val="0"/>
          <w:i w:val="0"/>
          <w:sz w:val="24"/>
        </w:rPr>
        <w:t>4.1. Нормы содержания, порядок осмотра и проведения технического обслуживания и ремонта тяговых подстанций Трансэнерго; 4.2. Нормы содержания, порядок осмотра и проведения технического обслуживания и ремонта трансформаторных подстанций Трансэнерго; 4.3. Нормы содержания, порядок осмотра и проведения технического обслуживания и ремонта линейных устройств систем тягового электроснабжения Трансэнерго; 4.4. Взаимодействие Трансэнерго со смежными службами при проведении ремонта и реконструкции устройств и систем тяговых подстанций на станциях и перегонах.</w:t>
      </w:r>
    </w:p>
    <w:p>
      <w:r>
        <w:rPr>
          <w:rFonts w:ascii="Times New Roman" w:hAnsi="Times New Roman"/>
          <w:b/>
          <w:i w:val="0"/>
          <w:sz w:val="24"/>
        </w:rPr>
        <w:t>Компетенция 5:</w:t>
      </w:r>
    </w:p>
    <w:p>
      <w:r>
        <w:rPr>
          <w:rFonts w:ascii="Times New Roman" w:hAnsi="Times New Roman"/>
          <w:b w:val="0"/>
          <w:i w:val="0"/>
          <w:sz w:val="24"/>
        </w:rPr>
        <w:t>5.1. Проведение строительства, реконструкции и капитального ремонта объектов основных средств Трансэнерго; 5.2. Технический надзор за строительством, реконструкцией и капитальным ремонтом объектов основных средств Трансэнерго; 5.3. Проектирование систем электроснабжения и объектов Трансэнерго; 5.4. Организация ввода в эксплуатацию объектов законченного строительства Трансэнерго.</w:t>
      </w:r>
    </w:p>
    <w:p>
      <w:r>
        <w:rPr>
          <w:rFonts w:ascii="Times New Roman" w:hAnsi="Times New Roman"/>
          <w:b/>
          <w:i w:val="0"/>
          <w:sz w:val="24"/>
        </w:rPr>
        <w:t>Компетенция 6:</w:t>
      </w:r>
    </w:p>
    <w:p>
      <w:r>
        <w:rPr>
          <w:rFonts w:ascii="Times New Roman" w:hAnsi="Times New Roman"/>
          <w:b w:val="0"/>
          <w:i w:val="0"/>
          <w:sz w:val="24"/>
        </w:rPr>
        <w:t>6.1. Технологические присоединения к электрическим сетям; 6.2. Оценка готовности субъектов электроэнергетики к работе в отопительный сезон; 6.3. Порядок распределения электроэнергии, составления балансов электрической энергии и выявление несанкционированного потребления; 6.4. Порядок отнесения владельцев объектов электросетевого хозяйства к территориальным сетевым организациям, порядок формирования и утверждения ими инвестиционных программ, раскрытия информации.</w:t>
      </w:r>
    </w:p>
    <w:p>
      <w:r>
        <w:rPr>
          <w:rFonts w:ascii="Times New Roman" w:hAnsi="Times New Roman"/>
          <w:b/>
          <w:i w:val="0"/>
          <w:sz w:val="24"/>
        </w:rPr>
        <w:t>Компетенция 9:</w:t>
      </w:r>
    </w:p>
    <w:p>
      <w:r>
        <w:rPr>
          <w:rFonts w:ascii="Times New Roman" w:hAnsi="Times New Roman"/>
          <w:b w:val="0"/>
          <w:i w:val="0"/>
          <w:sz w:val="24"/>
        </w:rPr>
        <w:t>9.1. Требования локальных нормативных актов ОАО «РЖД» в области обеспечения безопасности движения и надёжности перевозочного процесса; 9.2. Отказы в работе технических средств и технологические нарушения на инфраструктуре ОАО «РЖД»; 9.3. Идентификация, мониторинг и управление рисками в области безопасности движения.</w:t>
      </w:r>
    </w:p>
    <w:p>
      <w:r>
        <w:rPr>
          <w:rFonts w:ascii="Times New Roman" w:hAnsi="Times New Roman"/>
          <w:b/>
          <w:i w:val="0"/>
          <w:sz w:val="24"/>
        </w:rPr>
        <w:t>Компетенция 10:</w:t>
      </w:r>
    </w:p>
    <w:p>
      <w:r>
        <w:rPr>
          <w:rFonts w:ascii="Times New Roman" w:hAnsi="Times New Roman"/>
          <w:b w:val="0"/>
          <w:i w:val="0"/>
          <w:sz w:val="24"/>
        </w:rPr>
        <w:t>10.1. Планирование и организация процесса технической учёбы работников; 10.2. Организация и проведение проверки знаний работников; 10.3. Проведение предсменных инструктажей.</w:t>
      </w:r>
    </w:p>
    <w:p>
      <w:r>
        <w:br w:type="page"/>
      </w:r>
    </w:p>
    <w:p>
      <w:r>
        <w:rPr>
          <w:rFonts w:ascii="Times New Roman" w:hAnsi="Times New Roman"/>
          <w:b w:val="0"/>
          <w:i/>
          <w:sz w:val="24"/>
        </w:rPr>
        <w:t>Программа реализуется в сетевой форме. Электронные курсы (приложения 2, 4, 6) включают текстовые материалы и видеозаписи выступлений руководителей и экспертов Трансэнерго. Контроль выполнения практических заданий электронных курсов осуществляется на входе следующего очного модуля через разбор принесённых участником доказательств (данных, наблюдений, расчётов).</w:t>
      </w:r>
    </w:p>
    <w:p>
      <w:r>
        <w:rPr>
          <w:rFonts w:ascii="Times New Roman" w:hAnsi="Times New Roman"/>
          <w:b w:val="0"/>
          <w:i/>
          <w:sz w:val="24"/>
        </w:rPr>
        <w:t>После утверждения новой модели профессиональных компетенций ссылки и индикаторы должны быть актуализированы до финализации образовательной программы.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