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8 октября 2026</w:t>
      </w:r>
    </w:p>
    <w:p>
      <w:r>
        <w:rPr>
          <w:i/>
        </w:rPr>
        <w:t>Фильтр: резюме Наташи + контекст КУ и П+Энергии, performance consulting, AI-проекты, переезд в Минск и БГАИ. Сильные факты отделены от рыночных наблюдений и маркетинговых обещаний.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L&amp;D/EdTech</w:t>
      </w:r>
    </w:p>
    <w:p>
      <w:pPr>
        <w:pStyle w:val="Heading3"/>
      </w:pPr>
      <w:r>
        <w:t>AI-грамотность — это уже не умение написать промпт</w:t>
      </w:r>
    </w:p>
    <w:p>
      <w:r>
        <w:t>Training Industry формулирует сдвиг для корпоративного обучения: сотруднику нужны не только базовые навыки работы с AI, но и умение итеративно уточнять запрос, проверять точность, предвзятость и релевантность ответа, сверять источники и понимать границы допустимого решения. При этом потребности различаются по ролям: единый курс «AI для всех» не закрывает реальную задачу.</w:t>
      </w:r>
    </w:p>
    <w:p>
      <w:r>
        <w:t>Источник: [Training Industry — What AI Means for Corporate L&amp;D in 2026](https://trainingindustry.com/magazine/winter-2026/training-industry-special-report-what-ai-means-for-corporate-ld-in-2026/).</w:t>
      </w:r>
    </w:p>
    <w:p>
      <w:r>
        <w:rPr>
          <w:i/>
        </w:rPr>
        <w:t>*Вывод: в программах нужно учить не инструменту, а качеству решения рядом с инструментом.*</w:t>
      </w:r>
    </w:p>
    <w:p>
      <w:pPr>
        <w:pStyle w:val="Heading2"/>
      </w:pPr>
      <w:r>
        <w:t>2. AI приземлённый</w:t>
      </w:r>
    </w:p>
    <w:p>
      <w:pPr>
        <w:pStyle w:val="Heading3"/>
      </w:pPr>
      <w:r>
        <w:t>Рынок агентских продуктов движется к контексту, локальности и аудиту</w:t>
      </w:r>
    </w:p>
    <w:p>
      <w:r>
        <w:t>В подборке Product Hunt за 8 октября среди свежих агентских продуктов повторяются три свойства: local-first работа с контекстом на устройстве, оркестрация нескольких действий и управляемая аналитика с естественным языковым интерфейсом и auditability. Это не доказательство зрелости каждого продукта, но хороший рыночный сигнал: агенту уже недостаточно «уметь ответить» — ему нужно понимать контекст, действовать в ограничениях и оставлять след решения.</w:t>
      </w:r>
    </w:p>
    <w:p>
      <w:r>
        <w:t>Источник: [Product Hunt — The best new AI agents in 2026](https://www.producthunt.com/categories/ai-agents?order=recent_launches&amp;page=1).</w:t>
      </w:r>
    </w:p>
    <w:p>
      <w:r>
        <w:rPr>
          <w:b/>
        </w:rPr>
        <w:t>При чём тут наши проекты.</w:t>
      </w:r>
      <w:r>
        <w:t xml:space="preserve"> Для NAAssistant, AOS Analyzer и Бустера полезнее строить не «самого умного агента», а понятный маршрут: входные данные → решение → проверка → действие → журнал.</w:t>
      </w:r>
    </w:p>
    <w:p>
      <w:r>
        <w:rPr>
          <w:i/>
        </w:rPr>
        <w:t>*Вывод: audit trail становится частью пользовательской ценности, а не только внутренней безопасностью.*</w:t>
      </w:r>
    </w:p>
    <w:p>
      <w:pPr>
        <w:pStyle w:val="Heading2"/>
      </w:pPr>
      <w:r>
        <w:t>3. Рынок/Карьера</w:t>
      </w:r>
    </w:p>
    <w:p>
      <w:pPr>
        <w:pStyle w:val="Heading3"/>
      </w:pPr>
      <w:r>
        <w:t>L&amp;D и HR-роль всё больше становится внутренним консалтингом</w:t>
      </w:r>
    </w:p>
    <w:p>
      <w:r>
        <w:t>Robert Half сообщает, что во второй половине 2026 года 56% HR-лидеров планируют увеличить постоянный штат, а 50% — привлечь контрактных специалистов. При этом 59% считают поиск квалифицированных HR-специалистов сложнее, чем год назад; дефицит тормозит проекты по стратегии талантов, развитию навыков, performance management, HR-технологиям и аналитике. Среди востребованных навыков названы AI literacy, критическое мышление и решение проблем.</w:t>
      </w:r>
    </w:p>
    <w:p>
      <w:r>
        <w:t>Источник: [Robert Half — 2026 Human Resources job market](https://www.roberthalf.com/us/en/insights/research/data-reveals-which-hr-roles-are-in-highest-demand).</w:t>
      </w:r>
    </w:p>
    <w:p>
      <w:r>
        <w:rPr>
          <w:i/>
        </w:rPr>
        <w:t>*Вывод: твой язык «разбираю рабочий разрыв и проектирую систему изменений» точнее попадает в рынок, чем «разрабатываю обучающие программы».*</w:t>
      </w:r>
    </w:p>
    <w:p>
      <w:pPr>
        <w:pStyle w:val="Heading2"/>
      </w:pPr>
      <w:r>
        <w:t>4. Минск/Переезд</w:t>
      </w:r>
    </w:p>
    <w:p>
      <w:pPr>
        <w:pStyle w:val="Heading3"/>
      </w:pPr>
      <w:r>
        <w:t>Город даёт простые точки входа через межкультурные события</w:t>
      </w:r>
    </w:p>
    <w:p>
      <w:r>
        <w:t>3 октября в Минске после семилетнего перерыва прошёл фестиваль грузинской культуры «Тбилисоба»: программа включала общую часть «Судьба моя — Беларусь», музыку и танцы, фильмы, ярмарку и мастер-класс. На 10 октября БелТА анонсировала выставку «Беларусь и Россия глазами российских художников» в Минской городской ратуше: более 60 живописных и графических работ, выставка продлится до 1 ноября.</w:t>
      </w:r>
    </w:p>
    <w:p>
      <w:r>
        <w:t>Источники: [Sputnik Беларусь — «Тбилисоба»](https://sputnik.by/20261002/sem-let-spustya-festival-gruzinskoy-kultury-vernetsya-v-minsk-3-oktyabrya-1111385058.html), [БелТА — выставка в Минске](https://eng.belta.by/society/view/belarus-russia-painting-and-graphic-art-exhibition-to-open-in-minsk-187113-2026/).</w:t>
      </w:r>
    </w:p>
    <w:p>
      <w:r>
        <w:rPr>
          <w:i/>
        </w:rPr>
        <w:t>*Вывод: для адаптации полезны события, где не нужно заранее иметь компанию: приходишь как наблюдатель, а контакт возникает вокруг общего материала.*</w:t>
      </w:r>
    </w:p>
    <w:p>
      <w:pPr>
        <w:pStyle w:val="Heading2"/>
      </w:pPr>
      <w:r>
        <w:t>5. Творчество</w:t>
      </w:r>
    </w:p>
    <w:p>
      <w:pPr>
        <w:pStyle w:val="Heading3"/>
      </w:pPr>
      <w:r>
        <w:t>«Границы» можно снимать как опыт, а не как карту</w:t>
      </w:r>
    </w:p>
    <w:p>
      <w:r>
        <w:t>Сочетание двух свежих материалов — выставки о Беларуси и России и общей программы «Судьба моя — Беларусь» — даёт режиссёрский вопрос: как территория становится своей через чужой взгляд, маршрут и повторяемый ритуал? Это может быть не сюжет о событии, а короткое наблюдение: один человек выбирает, что считать знаком нового города.</w:t>
      </w:r>
    </w:p>
    <w:p>
      <w:r>
        <w:rPr>
          <w:i/>
        </w:rPr>
        <w:t>*Вывод: для БГАИ держи фокус не на красивой афише, а на том, как человек присваивает пространство.*</w:t>
      </w:r>
    </w:p>
    <w:p>
      <w:pPr>
        <w:pStyle w:val="Heading2"/>
      </w:pPr>
      <w:r>
        <w:t>6. Инструмент недели</w:t>
      </w:r>
    </w:p>
    <w:p>
      <w:pPr>
        <w:pStyle w:val="Heading3"/>
      </w:pPr>
      <w:r>
        <w:t>Verification card — карточка проверки решения</w:t>
      </w:r>
    </w:p>
    <w:p>
      <w:r>
        <w:t xml:space="preserve">Для каждого AI-ответа или важного рабочего вывода заведи пять полей: </w:t>
      </w:r>
      <w:r>
        <w:rPr>
          <w:b/>
        </w:rPr>
        <w:t>что утверждается; на каких данных основано; что может быть неверно; кто проверяет; какое действие следует дальше</w:t>
      </w:r>
      <w:r>
        <w:t>. Это компактнее полноценного отчёта, но уже не позволяет ответу исчезнуть в чате без ответственности.</w:t>
      </w:r>
    </w:p>
    <w:p>
      <w:r>
        <w:t>Карточка напрямую следует из требований Training Industry проверять точность, bias, релевантность и источники, а также из рыночного движения к auditability в агентских продуктах.</w:t>
      </w:r>
    </w:p>
    <w:p>
      <w:r>
        <w:rPr>
          <w:b/>
        </w:rPr>
        <w:t>Как применить:</w:t>
      </w:r>
      <w:r>
        <w:t xml:space="preserve"> протестировать карточку на одном отчёте AOS Analyzer и одном упражнении Бустера.</w:t>
      </w:r>
    </w:p>
    <w:p>
      <w:r>
        <w:rPr>
          <w:i/>
        </w:rPr>
        <w:t>*Вывод: verification loop начинается с видимой остановки перед действием, а не с длинной инструкции о безопасности.*</w:t>
      </w:r>
    </w:p>
    <w:p>
      <w:pPr>
        <w:pStyle w:val="Heading2"/>
      </w:pPr>
      <w:r>
        <w:t>7. Проекты</w:t>
      </w:r>
    </w:p>
    <w:p>
      <w:pPr>
        <w:pStyle w:val="Heading3"/>
      </w:pPr>
      <w:r>
        <w:t>П+Энергия получила сильную методическую формулу</w:t>
      </w:r>
    </w:p>
    <w:p>
      <w:r>
        <w:t>Новая концепция v2 строит программу вокруг единого годового проекта: паспорт подразделения → охрана труда → доходы → надёжность → первый 90-дневный цикл. Это точное воплощение performance-подхода: участник не просто изучает темы, а постепенно собирает решение на данных своего подразделения.</w:t>
      </w:r>
    </w:p>
    <w:p>
      <w:r>
        <w:rPr>
          <w:i/>
        </w:rPr>
        <w:t>*Вывод: эту архитектуру стоит использовать как эталон для будущих программ и как кейс в твоём портфолио: «обучение превращается в рабочий управленческий артефакт».*</w:t>
      </w:r>
    </w:p>
    <w:p>
      <w:pPr>
        <w:pStyle w:val="Heading3"/>
      </w:pPr>
      <w:r>
        <w:t>Для AOS Analyzer важнее объяснимость, чем ещё одна функция</w:t>
      </w:r>
    </w:p>
    <w:p>
      <w:r>
        <w:t>Если AI анализирует данные и предлагает вывод, пользователю нужны не только результат и красивый график, но и происхождение вывода, ограничения данных и следующий шаг. Это особенно важно для управленческих решений, где ошибка не выглядит как технический сбой.</w:t>
      </w:r>
    </w:p>
    <w:p>
      <w:r>
        <w:rPr>
          <w:i/>
        </w:rPr>
        <w:t>*Вывод: приоритизируй журнал доказательств и проверку гипотез раньше расширения набора AI-функций.*</w:t>
      </w:r>
    </w:p>
    <w:p>
      <w:pPr>
        <w:pStyle w:val="Heading2"/>
      </w:pPr>
      <w:r>
        <w:t>8. AI Безопасность / Регулирование</w:t>
      </w:r>
    </w:p>
    <w:p>
      <w:pPr>
        <w:pStyle w:val="Heading3"/>
      </w:pPr>
      <w:r>
        <w:t>Свежего первичного регуляторного сигнала не подтверждено</w:t>
      </w:r>
    </w:p>
    <w:p>
      <w:r>
        <w:t>В выдаче снова много пересказов, коммерческих гайдов и страниц, которые смешивают закон, рекомендации и прогнозы. Первичный документ с изменением обязательных требований за неделю не найден.</w:t>
      </w:r>
    </w:p>
    <w:p>
      <w:r>
        <w:rPr>
          <w:i/>
        </w:rPr>
        <w:t>*Вывод: для наших продуктов достаточно уже принятого принципа — минимальные права, разделение пользовательских данных и инструкций, журнал действий, человеческое подтверждение рискованных операций и обязательная проверка результата.*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делать на этой неделе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Добавить в методический стандарт блок «проверка AI-вывода»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Перевести AI-грамотность из промптов в качество решения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Собрать verification card для AOS Analyzer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Сделать объяснимость частью продукта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Описать П+Энергию v2 как performance-кейс в портфолио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Показать переход от курса к рабочему артефакту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Протестировать один шаблон журнала доказательств в Бустере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Проверить verification loop на практике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Выбрать одно событие в Минске и прийти без задачи «найти людей»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Снизить давление на адаптацию и начать с наблюдения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БГАИ снять микроэтюд «как человек присваивает новое место»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Соединить переезд, творчество и исследовательский взгляд</w:t>
            </w:r>
          </w:p>
        </w:tc>
      </w:tr>
    </w:tbl>
    <w:p/>
    <w:p>
      <w:r>
        <w:rPr>
          <w:i/>
        </w:rPr>
        <w:t>Сигнал собран 8 октября 2026. Research: DuckDuckGo Lite и прямые источники Training Industry, Product Hunt, Robert Half, Sputnik Беларусь и БелТА. Маркетинговые заявления и неподтверждённые регуляторные новости не использованы как факты.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