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32"/>
        <w:jc w:val="center"/>
        <w:spacing w:after="0" w:line="240" w:lineRule="auto"/>
        <w:tabs>
          <w:tab w:val="left" w:pos="426" w:leader="none"/>
          <w:tab w:val="left" w:pos="1276" w:leader="none"/>
          <w:tab w:val="left" w:pos="6480" w:leader="none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Чек – лист для проведения итоговой аттестации</w:t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32"/>
        <w:jc w:val="center"/>
        <w:spacing w:after="0" w:line="240" w:lineRule="auto"/>
        <w:tabs>
          <w:tab w:val="left" w:pos="426" w:leader="none"/>
          <w:tab w:val="left" w:pos="1276" w:leader="none"/>
          <w:tab w:val="left" w:pos="6480" w:leader="none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32"/>
        <w:ind w:left="0"/>
        <w:jc w:val="both"/>
        <w:spacing w:after="0" w:line="240" w:lineRule="auto"/>
        <w:tabs>
          <w:tab w:val="left" w:pos="426" w:leader="none"/>
          <w:tab w:val="left" w:pos="1276" w:leader="none"/>
          <w:tab w:val="left" w:pos="6480" w:leader="none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Решение о сертификации принимается аттестационной комиссией при получении слушателем не менее 1,5 баллов по шкале оценки уровня развития навыков в «чек-листе». Уровень развития навыка по шкале от 0 до 3х баллов, шаг 0,5</w:t>
      </w:r>
      <w:r>
        <w:rPr>
          <w:rFonts w:ascii="Times New Roman" w:hAnsi="Times New Roman"/>
          <w:sz w:val="28"/>
          <w:szCs w:val="28"/>
        </w:rPr>
        <w:t xml:space="preserve">, где: 0 – не соответствует ожиданиями; 1 – требуются улучшения, 2 – соответствует ожиданиям, 3 – превосходит ожидания.</w:t>
      </w:r>
      <w:r>
        <w:rPr>
          <w:rFonts w:ascii="Times New Roman" w:hAnsi="Times New Roman"/>
          <w:sz w:val="28"/>
          <w:szCs w:val="28"/>
        </w:rPr>
      </w:r>
    </w:p>
    <w:p>
      <w:pPr>
        <w:spacing w:after="0"/>
        <w:rPr>
          <w:rFonts w:ascii="Times New Roman" w:hAnsi="Times New Roman" w:eastAsia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/>
          <w:b/>
          <w:sz w:val="28"/>
          <w:szCs w:val="28"/>
          <w:lang w:eastAsia="ru-RU"/>
        </w:rPr>
      </w:r>
    </w:p>
    <w:tbl>
      <w:tblPr>
        <w:tblpPr w:horzAnchor="text" w:tblpX="-567" w:vertAnchor="text" w:tblpY="1" w:leftFromText="180" w:topFromText="0" w:rightFromText="180" w:bottomFromText="160"/>
        <w:tblW w:w="15593" w:type="dxa"/>
        <w:tblBorders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1623"/>
        <w:gridCol w:w="1418"/>
      </w:tblGrid>
      <w:tr>
        <w:trPr>
          <w:trHeight w:val="949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175" w:type="dxa"/>
            <w:vAlign w:val="center"/>
            <w:textDirection w:val="lrTb"/>
            <w:noWrap/>
          </w:tcPr>
          <w:p>
            <w:pPr>
              <w:spacing w:after="0" w:line="36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none" w:color="000000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  <w:t xml:space="preserve"> Балл</w:t>
            </w: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От 0 до 3 с шагом 0,5</w:t>
            </w: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r>
          </w:p>
        </w:tc>
      </w:tr>
      <w:tr>
        <w:trPr>
          <w:trHeight w:val="410"/>
        </w:trPr>
        <w:tc>
          <w:tcPr>
            <w:gridSpan w:val="3"/>
            <w:shd w:val="clear" w:color="auto" w:fill="d9d9d9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none" w:color="000000" w:sz="4" w:space="0"/>
            </w:tcBorders>
            <w:tcW w:w="15593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БЛОК 1: Управление содержанием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</w:tr>
      <w:tr>
        <w:trPr>
          <w:trHeight w:val="912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  <w:t xml:space="preserve">Владеет материалом программы</w:t>
            </w: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  <w:t xml:space="preserve">(Приоритет при даче обратной связи - 1)</w:t>
            </w: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pStyle w:val="634"/>
              <w:spacing w:line="256" w:lineRule="auto"/>
              <w:rPr>
                <w:rFonts w:ascii="Times New Roman" w:hAnsi="Times New Roman" w:cs="Times New Roman"/>
                <w:bCs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eastAsia="en-US"/>
              </w:rPr>
              <w:t xml:space="preserve">Удерживает позицию эксперта: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eastAsia="en-US"/>
              </w:rPr>
              <w:t xml:space="preserve"> содержательно верно, ясно и четко излагает материал в объеме и в соответствии программы.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eastAsia="en-US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1422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Адаптирует материал к уровню потребностям группы,</w:t>
            </w:r>
            <w:r>
              <w:rPr>
                <w:rFonts w:ascii="Times New Roman" w:hAnsi="Times New Roman" w:eastAsia="Times New Roman"/>
                <w:bCs/>
                <w:sz w:val="28"/>
                <w:szCs w:val="28"/>
                <w:lang w:eastAsia="ru-RU"/>
              </w:rPr>
              <w:t xml:space="preserve"> а также к специфике профе</w:t>
            </w:r>
            <w:r>
              <w:rPr>
                <w:rFonts w:ascii="Times New Roman" w:hAnsi="Times New Roman" w:eastAsia="Times New Roman"/>
                <w:bCs/>
                <w:sz w:val="28"/>
                <w:szCs w:val="28"/>
                <w:lang w:eastAsia="ru-RU"/>
              </w:rPr>
              <w:t xml:space="preserve">ссиональной деятельности слушателей, иллюстрирует содержание своими или заимствованными примерами из бизнес-практики, преподносит информацию на понятном для слушателей языке. Иллюстрирует содержание примерами, своими или заимствованными из бизнес-практики.</w:t>
            </w:r>
            <w:r>
              <w:rPr>
                <w:rFonts w:ascii="Times New Roman" w:hAnsi="Times New Roman" w:eastAsia="Times New Roman"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827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Отвечает на вопросы и возражения слушателей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. Содержательно, быстро и точно отвечает на вопросы.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1106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Ориентируется в учебно-методических материалах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. Своевременно обращает внимание слушателей на информацию в рабочей тетради и в других раздаточных материалах (ссылается на страницы, обращает внимание на задания, инструкции).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1106"/>
        </w:trPr>
        <w:tc>
          <w:tcPr>
            <w:gridSpan w:val="2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175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Комментарии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894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Соблюдает стандарты ведения 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образовательных программ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(Приоритет при даче обратной связи - 2)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Связывает теорию и практику, связывает смысловые блоки программы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, теоретический материал с практическими упражнениями, помогает слушателям связать обучение с их профессиональной деятельностью.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699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bottom"/>
            <w:textDirection w:val="lrTb"/>
            <w:noWrap w:val="false"/>
          </w:tcPr>
          <w:p>
            <w:pPr>
              <w:pStyle w:val="634"/>
              <w:ind w:right="174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 xml:space="preserve">Соблюдает алгоритм программы и всех ее компонентов: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сохраняет логику, контролирует время прохождения активностей, проверяет понимание.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85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bottom"/>
            <w:textDirection w:val="lrTb"/>
            <w:noWrap w:val="false"/>
          </w:tcPr>
          <w:p>
            <w:pPr>
              <w:pStyle w:val="634"/>
              <w:ind w:right="174"/>
              <w:spacing w:line="256" w:lineRule="auto"/>
              <w:tabs>
                <w:tab w:val="num" w:pos="354" w:leader="none"/>
              </w:tabs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 xml:space="preserve">Дает четкие инструкции к упражнениям и заданиям.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85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bottom"/>
            <w:textDirection w:val="lrTb"/>
            <w:noWrap w:val="false"/>
          </w:tcPr>
          <w:p>
            <w:pPr>
              <w:pStyle w:val="634"/>
              <w:ind w:right="174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 xml:space="preserve">Проводит анализ упражнений, заданий и ролевых игр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последовательно подводя группу к необходимым выводам/целям упражнения, блока, программы.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670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bottom"/>
            <w:textDirection w:val="lrTb"/>
            <w:noWrap w:val="false"/>
          </w:tcPr>
          <w:p>
            <w:pPr>
              <w:pStyle w:val="634"/>
              <w:ind w:right="174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 xml:space="preserve">Структурирует высказывания слушателей в процессе дискуссий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, анализа практических заданий и теоретических блоков, помогает прийти к важным инсайтам.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670"/>
        </w:trPr>
        <w:tc>
          <w:tcPr>
            <w:gridSpan w:val="2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175" w:type="dxa"/>
            <w:vAlign w:val="center"/>
            <w:textDirection w:val="lrTb"/>
            <w:noWrap w:val="false"/>
          </w:tcPr>
          <w:p>
            <w:pPr>
              <w:pStyle w:val="634"/>
              <w:ind w:right="174"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 xml:space="preserve">Комментарии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r>
          </w:p>
          <w:p>
            <w:pPr>
              <w:pStyle w:val="634"/>
              <w:ind w:right="174"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r>
          </w:p>
          <w:p>
            <w:pPr>
              <w:pStyle w:val="634"/>
              <w:ind w:right="174"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r>
          </w:p>
          <w:p>
            <w:pPr>
              <w:pStyle w:val="634"/>
              <w:ind w:right="174"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415"/>
        </w:trPr>
        <w:tc>
          <w:tcPr>
            <w:gridSpan w:val="3"/>
            <w:shd w:val="clear" w:color="auto" w:fill="d9d9d9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none" w:color="000000" w:sz="4" w:space="0"/>
            </w:tcBorders>
            <w:tcW w:w="15593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Блок 2: Управление группой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</w:tr>
      <w:tr>
        <w:trPr>
          <w:trHeight w:val="480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Создает позитивную атмосферу в группе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  <w:t xml:space="preserve">(Приоритет при даче обратной связи - 1)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Уделяет внимание каждому слушателю в ходе обучения.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761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Формирует безопасное пространство для высказывания мнений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проявляя уважение и доброжелательность (ко всем слушателям, ко всем мнениям и во всех ситуациях). 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909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Демонстрирует лояльность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к Компании, Корпоративному университету, образовательной программе, коллегам, руководству.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553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Умеет работать с эмоциями слушателями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адекватно активности, предусмотренной сценарием (уместно использовать юмор, «выпустить пар», погрустить и т.д.).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472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Способен убедить враждебно настроенных оппонентов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(при их наличии).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692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Умеет работать при наличии с несогласиями слушателей (возражениями, сопротивлением) содержательно и эмоционально.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692"/>
        </w:trPr>
        <w:tc>
          <w:tcPr>
            <w:gridSpan w:val="2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175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Комментарии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680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Управляет поведением слушателей и их взаимодействиями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  <w:t xml:space="preserve">(Приоритет при даче обратной связи - 3)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tabs>
                <w:tab w:val="left" w:pos="354" w:leader="none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Ведет группу в режиме диалога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организует и управляет дискуссией, используя техники активного слушания и различные типы вопросов, вовлекает слушателей в обсуждение.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680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tabs>
                <w:tab w:val="left" w:pos="354" w:leader="none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Способствует выявлению и/или актуализации взаимосвязей личных целей слушателей с целями обучения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(эффективный контракт).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680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tabs>
                <w:tab w:val="left" w:pos="354" w:leader="none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Устанавливает и поддерживает правила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соблюдает их сам и следит за соблюдением правил слушателями (снижает уровень непродуктивного напряжения).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680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tabs>
                <w:tab w:val="left" w:pos="354" w:leader="none"/>
              </w:tabs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Предоставляет развивающую обратную связь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(конструктивную и сбалансированную), используя индивидуальных подход, мотивирует слушателей на обучение и развитие.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680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Управляет групповой динамикой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своевременно используя различные формы групповой активности.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680"/>
        </w:trPr>
        <w:tc>
          <w:tcPr>
            <w:gridSpan w:val="2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17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Комментарии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  <w:p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1125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Формирует образовательную среду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  <w:t xml:space="preserve">(Приоритет при даче обратной связи - 3)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Организует удобное пространство для слушателей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Отслеживает, чтобы были видны для каждого слушателя: флипчарт и сам преподаватель, отслеживает влияние внешней среды на слушателей (душно, темно, сквозняк и т.п.) и принимает возможные меры по устранению негативных гигиенических факторов). 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566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Устанавливает и соблюдает регламент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(перерывы, обед и т.д.). 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491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Использует дополнительные средства визуализации,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в том числе карточки, маркеры разных цветов, создает эффект «говорящих стен».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491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pStyle w:val="634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 xml:space="preserve">Эффективно работает с техническими средствами обучения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, использует без потери динамики группы или восстанавливает ее после использования.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491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pStyle w:val="634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 xml:space="preserve">Фиксирует значимые идеи, звучащие в ходе обсуждения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и резюмирования на флипчарте.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491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Эффективно использует в работе флипчарт.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Пишет разборчиво и грамотно, в т.ч. использует достаточную размерность шрифта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491"/>
        </w:trPr>
        <w:tc>
          <w:tcPr>
            <w:gridSpan w:val="2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17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Комментарии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  <w:p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273"/>
        </w:trPr>
        <w:tc>
          <w:tcPr>
            <w:gridSpan w:val="3"/>
            <w:shd w:val="clear" w:color="auto" w:fill="d9d9d9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none" w:color="000000" w:sz="4" w:space="0"/>
            </w:tcBorders>
            <w:tcW w:w="15593" w:type="dxa"/>
            <w:vAlign w:val="bottom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БЛОК 3: Управление собой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</w:tr>
      <w:tr>
        <w:trPr>
          <w:trHeight w:val="693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Контролирует эмоциональное состояние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sz w:val="28"/>
                <w:szCs w:val="28"/>
                <w:lang w:eastAsia="ru-RU"/>
              </w:rPr>
              <w:t xml:space="preserve">(Приоритет при даче обратной связи - 1)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Устанавливает и уверенно выдерживает профессиональную позицию «бизнес-тренер»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(Эго-состояние «Взрослый» по транзактному анализу). Отсутствует инверсия ролей.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561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Контролирует свое эмоциональное состояние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(сохраняет спокойствие и конструктивность в любой ситуации).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658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Терпимо относится к поведению и установкам слушателей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(слышит и уважает различные точки зрения и учитывает мотивы поведения слушателей).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373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Поддерживает и регулирует уровень собственной активности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в соответствии с образовательными целями.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373"/>
        </w:trPr>
        <w:tc>
          <w:tcPr>
            <w:gridSpan w:val="2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17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Комментарии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  <w:p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  <w:p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391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Владеет навыками презентации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(Приоритет при даче обратной связи - 2)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Использует открытую позу и жесты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достаточные и соответствующие содержанию речи.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355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Свободно перемещается в пространстве аудитории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(при необходимости).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739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Использует речь и голос как инструмент воздействия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(громкость голоса, темп и паузы соответствуют восприятию  слушателей, расставляет интонационные акценты, речь грамотная).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739"/>
        </w:trPr>
        <w:tc>
          <w:tcPr>
            <w:gridSpan w:val="2"/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4175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Комментарии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  <w:p>
            <w:pPr>
              <w:rPr>
                <w:rFonts w:ascii="Times New Roman" w:hAnsi="Times New Roman"/>
                <w:b/>
                <w:sz w:val="28"/>
                <w:szCs w:val="28"/>
              </w:rPr>
            </w:pPr>
            <w:r/>
            <w:bookmarkStart w:id="0" w:name="_GoBack"/>
            <w:r/>
            <w:bookmarkEnd w:id="0"/>
            <w:r/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  <w:p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676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none" w:color="000000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Развивается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Конструктивно воспринимает персональную развивающую обратную связь.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355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none" w:color="000000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Адекватно оценивает свои «сильные стороны».</w:t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355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none" w:color="000000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pStyle w:val="634"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 xml:space="preserve">Знает индивидуальные «зоны развития» и предпринимает необходимые развивающие действия.</w:t>
            </w: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682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255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Осваивает (регулярно обновляет) новые знания и навыки (для развития компетенций бизнес-тренера и в смежных областях).</w:t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single" w:color="BFBFBF" w:themeColor="background1" w:themeShade="BF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  <w:t xml:space="preserve"> </w:t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  <w:tr>
        <w:trPr>
          <w:trHeight w:val="682"/>
        </w:trPr>
        <w:tc>
          <w:tcPr>
            <w:tcBorders>
              <w:top w:val="single" w:color="BFBFBF" w:themeColor="background1" w:themeShade="BF" w:sz="4" w:space="0"/>
              <w:left w:val="none" w:color="000000" w:sz="4" w:space="0"/>
              <w:bottom w:val="none" w:color="000000" w:sz="4" w:space="0"/>
              <w:right w:val="single" w:color="BFBFBF" w:themeColor="background1" w:themeShade="BF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  <w:t xml:space="preserve">Комментарии</w:t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  <w:p>
            <w:pPr>
              <w:spacing w:after="0" w:line="256" w:lineRule="auto"/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bCs/>
                <w:sz w:val="28"/>
                <w:szCs w:val="28"/>
                <w:lang w:eastAsia="ru-RU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none" w:color="000000" w:sz="4" w:space="0"/>
              <w:right w:val="single" w:color="BFBFBF" w:themeColor="background1" w:themeShade="BF" w:sz="4" w:space="0"/>
            </w:tcBorders>
            <w:tcW w:w="11623" w:type="dxa"/>
            <w:vAlign w:val="center"/>
            <w:textDirection w:val="lrTb"/>
            <w:noWrap w:val="false"/>
          </w:tcPr>
          <w:p>
            <w:p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Borders>
              <w:top w:val="single" w:color="BFBFBF" w:themeColor="background1" w:themeShade="BF" w:sz="4" w:space="0"/>
              <w:left w:val="single" w:color="BFBFBF" w:themeColor="background1" w:themeShade="BF" w:sz="4" w:space="0"/>
              <w:bottom w:val="none" w:color="000000" w:sz="4" w:space="0"/>
              <w:right w:val="none" w:color="000000" w:sz="4" w:space="0"/>
            </w:tcBorders>
            <w:tcW w:w="1418" w:type="dxa"/>
            <w:vAlign w:val="bottom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  <w:r>
              <w:rPr>
                <w:rFonts w:ascii="Times New Roman" w:hAnsi="Times New Roman" w:eastAsia="Times New Roman"/>
                <w:sz w:val="28"/>
                <w:szCs w:val="28"/>
                <w:lang w:eastAsia="ru-RU"/>
              </w:rPr>
            </w:r>
          </w:p>
        </w:tc>
      </w:tr>
    </w:tbl>
    <w:p>
      <w:pPr>
        <w:rPr>
          <w:rFonts w:ascii="Times New Roman" w:hAnsi="Times New Roman" w:eastAsiaTheme="minorEastAsia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Theme="minorEastAsia"/>
          <w:b/>
          <w:bCs/>
          <w:sz w:val="28"/>
          <w:szCs w:val="28"/>
          <w:lang w:eastAsia="ru-RU"/>
        </w:rPr>
      </w:r>
      <w:r>
        <w:rPr>
          <w:rFonts w:ascii="Times New Roman" w:hAnsi="Times New Roman" w:eastAsiaTheme="minorEastAsia"/>
          <w:b/>
          <w:bCs/>
          <w:sz w:val="28"/>
          <w:szCs w:val="28"/>
          <w:lang w:eastAsia="ru-RU"/>
        </w:rPr>
      </w:r>
    </w:p>
    <w:p>
      <w:pPr>
        <w:rPr>
          <w:rFonts w:ascii="Times New Roman" w:hAnsi="Times New Roman" w:eastAsiaTheme="minorEastAsia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Theme="minorEastAsia"/>
          <w:b/>
          <w:bCs/>
          <w:sz w:val="28"/>
          <w:szCs w:val="28"/>
          <w:lang w:eastAsia="ru-RU"/>
        </w:rPr>
      </w:r>
      <w:r>
        <w:rPr>
          <w:rFonts w:ascii="Times New Roman" w:hAnsi="Times New Roman" w:eastAsiaTheme="minorEastAsia"/>
          <w:b/>
          <w:bCs/>
          <w:sz w:val="28"/>
          <w:szCs w:val="28"/>
          <w:lang w:eastAsia="ru-RU"/>
        </w:rPr>
      </w:r>
    </w:p>
    <w:p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eastAsiaTheme="minorEastAsia"/>
          <w:b/>
          <w:bCs/>
          <w:sz w:val="28"/>
          <w:szCs w:val="28"/>
          <w:lang w:eastAsia="ru-RU"/>
        </w:rPr>
        <w:t xml:space="preserve">Итоговый средний балл_________________</w:t>
      </w:r>
      <w:r>
        <w:rPr>
          <w:rFonts w:ascii="Times New Roman" w:hAnsi="Times New Roman"/>
          <w:sz w:val="28"/>
          <w:szCs w:val="28"/>
        </w:rPr>
      </w:r>
    </w:p>
    <w:p>
      <w:pPr>
        <w:contextualSpacing/>
        <w:spacing w:line="360" w:lineRule="exact"/>
        <w:tabs>
          <w:tab w:val="left" w:pos="426" w:leader="none"/>
          <w:tab w:val="left" w:pos="1276" w:leader="none"/>
          <w:tab w:val="left" w:pos="6480" w:leader="none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sectPr>
      <w:footnotePr/>
      <w:endnotePr/>
      <w:type w:val="nextPage"/>
      <w:pgSz w:w="16838" w:h="11906" w:orient="landscape"/>
      <w:pgMar w:top="850" w:right="1134" w:bottom="142" w:left="1134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80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2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4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6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8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40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2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4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74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646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718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790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862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934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1006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1078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11507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27"/>
    <w:next w:val="62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2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27"/>
    <w:next w:val="62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2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27"/>
    <w:next w:val="62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2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27"/>
    <w:next w:val="62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2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27"/>
    <w:next w:val="62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2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27"/>
    <w:next w:val="62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2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7"/>
    <w:next w:val="62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7"/>
    <w:next w:val="62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7"/>
    <w:next w:val="62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27"/>
    <w:next w:val="62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28"/>
    <w:link w:val="34"/>
    <w:uiPriority w:val="10"/>
    <w:rPr>
      <w:sz w:val="48"/>
      <w:szCs w:val="48"/>
    </w:rPr>
  </w:style>
  <w:style w:type="paragraph" w:styleId="36">
    <w:name w:val="Subtitle"/>
    <w:basedOn w:val="627"/>
    <w:next w:val="62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28"/>
    <w:link w:val="36"/>
    <w:uiPriority w:val="11"/>
    <w:rPr>
      <w:sz w:val="24"/>
      <w:szCs w:val="24"/>
    </w:rPr>
  </w:style>
  <w:style w:type="paragraph" w:styleId="38">
    <w:name w:val="Quote"/>
    <w:basedOn w:val="627"/>
    <w:next w:val="62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7"/>
    <w:next w:val="62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8"/>
    <w:link w:val="42"/>
    <w:uiPriority w:val="99"/>
  </w:style>
  <w:style w:type="paragraph" w:styleId="44">
    <w:name w:val="Footer"/>
    <w:basedOn w:val="62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8"/>
    <w:link w:val="44"/>
    <w:uiPriority w:val="99"/>
  </w:style>
  <w:style w:type="paragraph" w:styleId="46">
    <w:name w:val="Caption"/>
    <w:basedOn w:val="627"/>
    <w:next w:val="62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2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8"/>
    <w:uiPriority w:val="99"/>
    <w:unhideWhenUsed/>
    <w:rPr>
      <w:vertAlign w:val="superscript"/>
    </w:rPr>
  </w:style>
  <w:style w:type="paragraph" w:styleId="178">
    <w:name w:val="endnote text"/>
    <w:basedOn w:val="62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8"/>
    <w:uiPriority w:val="99"/>
    <w:semiHidden/>
    <w:unhideWhenUsed/>
    <w:rPr>
      <w:vertAlign w:val="superscript"/>
    </w:rPr>
  </w:style>
  <w:style w:type="paragraph" w:styleId="181">
    <w:name w:val="toc 1"/>
    <w:basedOn w:val="627"/>
    <w:next w:val="62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7"/>
    <w:next w:val="62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7"/>
    <w:next w:val="62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7"/>
    <w:next w:val="62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7"/>
    <w:next w:val="62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7"/>
    <w:next w:val="62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7"/>
    <w:next w:val="62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7"/>
    <w:next w:val="62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7"/>
    <w:next w:val="62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7"/>
    <w:next w:val="627"/>
    <w:uiPriority w:val="99"/>
    <w:unhideWhenUsed/>
    <w:pPr>
      <w:spacing w:after="0" w:afterAutospacing="0"/>
    </w:pPr>
  </w:style>
  <w:style w:type="paragraph" w:styleId="627" w:default="1">
    <w:name w:val="Normal"/>
    <w:qFormat/>
    <w:pPr>
      <w:spacing w:after="200" w:line="276" w:lineRule="auto"/>
    </w:pPr>
    <w:rPr>
      <w:rFonts w:ascii="Calibri" w:hAnsi="Calibri" w:eastAsia="Calibri" w:cs="Times New Roman"/>
    </w:rPr>
  </w:style>
  <w:style w:type="character" w:styleId="628" w:default="1">
    <w:name w:val="Default Paragraph Font"/>
    <w:uiPriority w:val="1"/>
    <w:semiHidden/>
    <w:unhideWhenUsed/>
  </w:style>
  <w:style w:type="table" w:styleId="62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0" w:default="1">
    <w:name w:val="No List"/>
    <w:uiPriority w:val="99"/>
    <w:semiHidden/>
    <w:unhideWhenUsed/>
  </w:style>
  <w:style w:type="table" w:styleId="631">
    <w:name w:val="Grid Table 4 Accent 3"/>
    <w:basedOn w:val="629"/>
    <w:uiPriority w:val="4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band1Horz">
      <w:tcPr>
        <w:shd w:val="clear" w:color="auto" w:fill="ededed" w:themeFill="accent3" w:themeFillTint="33"/>
      </w:tcPr>
    </w:tblStylePr>
    <w:tblStylePr w:type="band1Vert">
      <w:tcPr>
        <w:shd w:val="clear" w:color="auto" w:fill="ededed" w:themeFill="accent3" w:themeFillTint="33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a5a5a5" w:themeFill="accent3"/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A5A5A5" w:themeColor="accent3" w:sz="4" w:space="0"/>
        </w:tcBorders>
      </w:tcPr>
    </w:tblStylePr>
  </w:style>
  <w:style w:type="paragraph" w:styleId="632">
    <w:name w:val="List Paragraph"/>
    <w:basedOn w:val="627"/>
    <w:uiPriority w:val="34"/>
    <w:qFormat/>
    <w:pPr>
      <w:contextualSpacing/>
      <w:ind w:left="720"/>
    </w:pPr>
  </w:style>
  <w:style w:type="table" w:styleId="633">
    <w:name w:val="Table Grid"/>
    <w:basedOn w:val="62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34" w:customStyle="1">
    <w:name w:val="_Main"/>
    <w:pPr>
      <w:jc w:val="both"/>
      <w:spacing w:before="60" w:after="60" w:line="240" w:lineRule="auto"/>
      <w:tabs>
        <w:tab w:val="left" w:pos="3686" w:leader="none"/>
        <w:tab w:val="left" w:pos="4253" w:leader="none"/>
      </w:tabs>
    </w:pPr>
    <w:rPr>
      <w:rFonts w:ascii="Arial" w:hAnsi="Arial" w:eastAsia="Times New Roman" w:cs="Arial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KUAdmin</dc:creator>
  <cp:keywords/>
  <dc:description/>
  <cp:lastModifiedBy>Наталья Марценюк</cp:lastModifiedBy>
  <cp:revision>20</cp:revision>
  <dcterms:created xsi:type="dcterms:W3CDTF">2022-04-25T12:00:00Z</dcterms:created>
  <dcterms:modified xsi:type="dcterms:W3CDTF">2024-06-04T06:14:46Z</dcterms:modified>
</cp:coreProperties>
</file>