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477847f33e1f3f011b560b27adb2d022fc832a"/>
    <w:p>
      <w:pPr>
        <w:pStyle w:val="Heading1"/>
      </w:pPr>
      <w:r>
        <w:t xml:space="preserve">STROBE Checklist (Cohort Study) - Submission Supplement</w:t>
      </w:r>
    </w:p>
    <w:p>
      <w:pPr>
        <w:pStyle w:val="FirstParagraph"/>
      </w:pPr>
      <w:r>
        <w:t xml:space="preserve">Source guideline: STROBE statement for cohort studies.</w:t>
      </w:r>
    </w:p>
    <w:bookmarkStart w:id="9" w:name="items-covered-in-manuscript"/>
    <w:p>
      <w:pPr>
        <w:pStyle w:val="Heading2"/>
      </w:pPr>
      <w:r>
        <w:t xml:space="preserve">Items Covered in Manuscript</w:t>
      </w:r>
    </w:p>
    <w:p>
      <w:pPr>
        <w:pStyle w:val="Compact"/>
        <w:numPr>
          <w:ilvl w:val="0"/>
          <w:numId w:val="1001"/>
        </w:numPr>
      </w:pPr>
      <w:r>
        <w:t xml:space="preserve">Title/Abstract: observational cohort design and key estimates reported.</w:t>
      </w:r>
    </w:p>
    <w:p>
      <w:pPr>
        <w:pStyle w:val="Compact"/>
        <w:numPr>
          <w:ilvl w:val="0"/>
          <w:numId w:val="1001"/>
        </w:numPr>
      </w:pPr>
      <w:r>
        <w:t xml:space="preserve">Background/Rationale: clinical and epidemiologic motivation provided.</w:t>
      </w:r>
    </w:p>
    <w:p>
      <w:pPr>
        <w:pStyle w:val="Compact"/>
        <w:numPr>
          <w:ilvl w:val="0"/>
          <w:numId w:val="1001"/>
        </w:numPr>
      </w:pPr>
      <w:r>
        <w:t xml:space="preserve">Objectives: primary and secondary objectives stated.</w:t>
      </w:r>
    </w:p>
    <w:p>
      <w:pPr>
        <w:pStyle w:val="Compact"/>
        <w:numPr>
          <w:ilvl w:val="0"/>
          <w:numId w:val="1001"/>
        </w:numPr>
      </w:pPr>
      <w:r>
        <w:t xml:space="preserve">Study design: retrospective cohort design described.</w:t>
      </w:r>
    </w:p>
    <w:p>
      <w:pPr>
        <w:pStyle w:val="Compact"/>
        <w:numPr>
          <w:ilvl w:val="0"/>
          <w:numId w:val="1001"/>
        </w:numPr>
      </w:pPr>
      <w:r>
        <w:t xml:space="preserve">Setting: single regional health system analyzed at division level; broader monitoring feed spans 10 divisions and the clustered sensitivity fit uses 9 intervention divisions.</w:t>
      </w:r>
    </w:p>
    <w:p>
      <w:pPr>
        <w:pStyle w:val="Compact"/>
        <w:numPr>
          <w:ilvl w:val="0"/>
          <w:numId w:val="1001"/>
        </w:numPr>
      </w:pPr>
      <w:r>
        <w:t xml:space="preserve">Participants: monitor-unit eligibility rules, outcome-defined intervention/control membership, the 43-event study-window adjudicated cohort, the 40-event inferential base, and the distinct 91/32/30-31 descriptive cohorts are documented.</w:t>
      </w:r>
    </w:p>
    <w:p>
      <w:pPr>
        <w:pStyle w:val="Compact"/>
        <w:numPr>
          <w:ilvl w:val="0"/>
          <w:numId w:val="1001"/>
        </w:numPr>
      </w:pPr>
      <w:r>
        <w:t xml:space="preserve">Variables: exposures, outcomes, covariates, and sensitivity definitions described.</w:t>
      </w:r>
    </w:p>
    <w:p>
      <w:pPr>
        <w:pStyle w:val="Compact"/>
        <w:numPr>
          <w:ilvl w:val="0"/>
          <w:numId w:val="1001"/>
        </w:numPr>
      </w:pPr>
      <w:r>
        <w:t xml:space="preserve">Data sources/measurement: AI monitoring, virtual observer workflow context, linkage pipeline, outcome-defined cohort provenance, and the adjudicated STROBE pathway are specified.</w:t>
      </w:r>
    </w:p>
    <w:p>
      <w:pPr>
        <w:pStyle w:val="Compact"/>
        <w:numPr>
          <w:ilvl w:val="0"/>
          <w:numId w:val="1001"/>
        </w:numPr>
      </w:pPr>
      <w:r>
        <w:t xml:space="preserve">Bias: label quality, calibration risk, residual confounding, and misclassification risks discussed; sensitivity analyses added.</w:t>
      </w:r>
    </w:p>
    <w:p>
      <w:pPr>
        <w:pStyle w:val="Compact"/>
        <w:numPr>
          <w:ilvl w:val="0"/>
          <w:numId w:val="1001"/>
        </w:numPr>
      </w:pPr>
      <w:r>
        <w:t xml:space="preserve">Study size: source monitors, eligible monitors, inferential events, broader monitoring-feed events, broader observation events, and benchmark truth/scored-sequence counts are reported.</w:t>
      </w:r>
    </w:p>
    <w:p>
      <w:pPr>
        <w:pStyle w:val="Compact"/>
        <w:numPr>
          <w:ilvl w:val="0"/>
          <w:numId w:val="1001"/>
        </w:numPr>
      </w:pPr>
      <w:r>
        <w:t xml:space="preserve">Quantitative variables: exposure fractions and rate-model construction described.</w:t>
      </w:r>
    </w:p>
    <w:p>
      <w:pPr>
        <w:pStyle w:val="Compact"/>
        <w:numPr>
          <w:ilvl w:val="0"/>
          <w:numId w:val="1001"/>
        </w:numPr>
      </w:pPr>
      <w:r>
        <w:t xml:space="preserve">Statistical methods: Poisson GLM with offset, HC3 sensitivity, clustered exploratory fit, and dispersion diagnostics listed.</w:t>
      </w:r>
    </w:p>
    <w:p>
      <w:pPr>
        <w:pStyle w:val="Compact"/>
        <w:numPr>
          <w:ilvl w:val="0"/>
          <w:numId w:val="1001"/>
        </w:numPr>
      </w:pPr>
      <w:r>
        <w:t xml:space="preserve">Participant flow: documented in</w:t>
      </w:r>
      <w:r>
        <w:t xml:space="preserve"> </w:t>
      </w:r>
      <w:r>
        <w:rPr>
          <w:rStyle w:val="VerbatimChar"/>
        </w:rPr>
        <w:t xml:space="preserve">docs/strobe_flow_diagram.md</w:t>
      </w:r>
      <w:r>
        <w:t xml:space="preserve">, including the manuscript-facing</w:t>
      </w:r>
      <w:r>
        <w:t xml:space="preserve"> </w:t>
      </w:r>
      <w:r>
        <w:rPr>
          <w:rStyle w:val="VerbatimChar"/>
        </w:rPr>
        <w:t xml:space="preserve">43 -&gt; 40</w:t>
      </w:r>
      <w:r>
        <w:t xml:space="preserve"> </w:t>
      </w:r>
      <w:r>
        <w:t xml:space="preserve">adjudication/linkage funnel and the separate broader descriptive cohorts.</w:t>
      </w:r>
    </w:p>
    <w:p>
      <w:pPr>
        <w:pStyle w:val="Compact"/>
        <w:numPr>
          <w:ilvl w:val="0"/>
          <w:numId w:val="1001"/>
        </w:numPr>
      </w:pPr>
      <w:r>
        <w:t xml:space="preserve">Descriptive data: cohort and exposure summaries provided.</w:t>
      </w:r>
    </w:p>
    <w:p>
      <w:pPr>
        <w:pStyle w:val="Compact"/>
        <w:numPr>
          <w:ilvl w:val="0"/>
          <w:numId w:val="1001"/>
        </w:numPr>
      </w:pPr>
      <w:r>
        <w:t xml:space="preserve">Outcome data: event counts and rates by position provided.</w:t>
      </w:r>
    </w:p>
    <w:p>
      <w:pPr>
        <w:pStyle w:val="Compact"/>
        <w:numPr>
          <w:ilvl w:val="0"/>
          <w:numId w:val="1001"/>
        </w:numPr>
      </w:pPr>
      <w:r>
        <w:t xml:space="preserve">Main results: adjusted RR with confidence interval and p-value reported.</w:t>
      </w:r>
    </w:p>
    <w:p>
      <w:pPr>
        <w:pStyle w:val="Compact"/>
        <w:numPr>
          <w:ilvl w:val="0"/>
          <w:numId w:val="1001"/>
        </w:numPr>
      </w:pPr>
      <w:r>
        <w:t xml:space="preserve">Other analyses: subgroup, threshold, and misclassification sensitivity analyses reported.</w:t>
      </w:r>
    </w:p>
    <w:p>
      <w:pPr>
        <w:pStyle w:val="Compact"/>
        <w:numPr>
          <w:ilvl w:val="0"/>
          <w:numId w:val="1001"/>
        </w:numPr>
      </w:pPr>
      <w:r>
        <w:t xml:space="preserve">Key results: aligned with objectives.</w:t>
      </w:r>
    </w:p>
    <w:p>
      <w:pPr>
        <w:pStyle w:val="Compact"/>
        <w:numPr>
          <w:ilvl w:val="0"/>
          <w:numId w:val="1001"/>
        </w:numPr>
      </w:pPr>
      <w:r>
        <w:t xml:space="preserve">Limitations: sparse events, label quality, and residual confounding discussed.</w:t>
      </w:r>
    </w:p>
    <w:p>
      <w:pPr>
        <w:pStyle w:val="Compact"/>
        <w:numPr>
          <w:ilvl w:val="0"/>
          <w:numId w:val="1001"/>
        </w:numPr>
      </w:pPr>
      <w:r>
        <w:t xml:space="preserve">Interpretation: cautious, evidence-graded interpretation.</w:t>
      </w:r>
    </w:p>
    <w:p>
      <w:pPr>
        <w:pStyle w:val="Compact"/>
        <w:numPr>
          <w:ilvl w:val="0"/>
          <w:numId w:val="1001"/>
        </w:numPr>
      </w:pPr>
      <w:r>
        <w:t xml:space="preserve">Generalizability: single-system scope explicitly acknowledged.</w:t>
      </w:r>
    </w:p>
    <w:p>
      <w:pPr>
        <w:pStyle w:val="Compact"/>
        <w:numPr>
          <w:ilvl w:val="0"/>
          <w:numId w:val="1001"/>
        </w:numPr>
      </w:pPr>
      <w:r>
        <w:t xml:space="preserve">Funding/COI: disclosed in dedicated manuscript sections.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2026-04-30T19:11:44Z</dcterms:created>
  <dcterms:modified xsi:type="dcterms:W3CDTF">2026-04-30T19:11:44Z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