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Material — Exposure-Normalized Bed and Chair Fall Rates via Continuous AI Monitoring</w:t>
      </w:r>
    </w:p>
    <w:bookmarkStart w:id="9" w:name="s1.-auxiliary-annotation-cohorts"/>
    <w:p>
      <w:pPr>
        <w:pStyle w:val="Heading1"/>
      </w:pPr>
      <w:r>
        <w:t xml:space="preserve">S1. Auxiliary Annotation Cohorts</w:t>
      </w:r>
    </w:p>
    <w:p>
      <w:pPr>
        <w:pStyle w:val="FirstParagraph"/>
      </w:pPr>
      <w:r>
        <w:t xml:space="preserve">Four non-interchangeable data layers support different descriptive tasks. (1) Study-window adjudicated cohort: 43 consensus-matched events (August 2024–December 2025). (2) Inferential event base: 40 eligible linked falls entering the Poisson model (this is the only cohort that contributes to the primary RR estimate). (3) v3 adjudicated descriptive source: 37 source rows yielding 32 deduplicated mechanism-coded events; the same source yielded the departure-aware benchmark subset (30 truth rows, 31 scored sequences) for furniture-origin and label-evaluation analyses. (4) Broader monitoring feed (2022–2026, n=91 events): raw hard-label and site-summary context only.</w:t>
      </w:r>
    </w:p>
    <w:bookmarkEnd w:id="9"/>
    <w:bookmarkStart w:id="10" w:name="s2.-full-sensitivity-panel"/>
    <w:p>
      <w:pPr>
        <w:pStyle w:val="Heading1"/>
      </w:pPr>
      <w:r>
        <w:t xml:space="preserve">S2. Full Sensitivity Panel</w:t>
      </w:r>
    </w:p>
    <w:p>
      <w:pPr>
        <w:pStyle w:val="FirstParagraph"/>
      </w:pPr>
      <w:r>
        <w:t xml:space="preserve">Pre-specified sensitivity analyses addressed four domains: (i) time-window restriction across seven local-time strata (00:00–05:59 through 21:00–23:59) plus weekday-only and weekend-only stratifications; (ii) position certainty, restricting to hourly rows where chair or bed fraction ≥0.50; (iii) systematic label-swap misclassification scenarios — symmetric 10%, 20%, and 30% chair/bed reassignment and one-sided 20% swaps in each direction; and (iv) eligibility-threshold variation at</w:t>
      </w:r>
      <w:r>
        <w:t xml:space="preserve"> </w:t>
      </w:r>
      <w:r>
        <w:rPr>
          <w:rStyle w:val="VerbatimChar"/>
        </w:rPr>
        <w:t xml:space="preserve">min_observed_hours</w:t>
      </w:r>
      <w:r>
        <w:t xml:space="preserve"> </w:t>
      </w:r>
      <w:r>
        <w:t xml:space="preserve">∈ {4, 12, 24, 48}. A furniture-origin reclassification test reassigned room/no_patient events with confirmed chair provenance (via the</w:t>
      </w:r>
      <w:r>
        <w:t xml:space="preserve"> </w:t>
      </w:r>
      <w:r>
        <w:rPr>
          <w:rStyle w:val="VerbatimChar"/>
        </w:rPr>
        <w:t xml:space="preserve">last_furniture</w:t>
      </w:r>
      <w:r>
        <w:t xml:space="preserve"> </w:t>
      </w:r>
      <w:r>
        <w:t xml:space="preserve">field) to 100% chair attribution.</w:t>
      </w:r>
    </w:p>
    <w:p>
      <w:pPr>
        <w:pStyle w:val="BodyText"/>
      </w:pPr>
      <w:r>
        <w:rPr>
          <w:b/>
          <w:bCs/>
        </w:rPr>
        <w:t xml:space="preserve">Table S1. Full sensitivity panel for the adjusted chair-vs-bed rate ratio.</w:t>
      </w:r>
    </w:p>
    <w:tbl>
      <w:tblPr>
        <w:tblStyle w:val="Table"/>
        <w:tblW w:type="pct" w:w="4942"/>
        <w:tblLayout w:type="fixed"/>
        <w:tblLook w:firstRow="0" w:lastRow="0" w:firstColumn="0" w:lastColumn="0" w:noHBand="0" w:noVBand="0" w:val="0000"/>
      </w:tblPr>
      <w:tblGrid>
        <w:gridCol w:w="1739"/>
        <w:gridCol w:w="412"/>
        <w:gridCol w:w="686"/>
        <w:gridCol w:w="640"/>
        <w:gridCol w:w="778"/>
        <w:gridCol w:w="357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Events (n)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— HC3 SE (all hours)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 to 5.94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estimable; HC3 robust SE 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— Wald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 to 6.33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Wald SE companion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Exploratory clustered SE (division)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 to 2.92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intervention divisions (&lt; 30-cluster threshold); underdispersed fit; not a primary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Position-certainty hours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insufficient_data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Chair-origin reclassified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 to 6.33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furniture-origin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Eligibility threshold ≥ 12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 to 6.47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Eligibility threshold ≥ 24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 to 6.63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Eligibility threshold ≥ 48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 to 6.98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estimable</w:t>
            </w:r>
          </w:p>
        </w:tc>
      </w:tr>
    </w:tbl>
    <w:p>
      <w:pPr>
        <w:pStyle w:val="BlockText"/>
      </w:pPr>
      <w:r>
        <w:t xml:space="preserve">Note: All seven local-time window stratifications were non-estimable (&lt;5 events per arm) and are omitted. Misclassification scenarios yielded RR 4.49–13.17 across estimable swaps; the one-sided 20% chair-to-bed scenario was non-estimable. These ranges reflect denominator sensitivity to label-assumption rather than a plausible effect distribution.</w:t>
      </w:r>
    </w:p>
    <w:bookmarkEnd w:id="10"/>
    <w:bookmarkStart w:id="11" w:name="s3.-label-quality-evaluation"/>
    <w:p>
      <w:pPr>
        <w:pStyle w:val="Heading1"/>
      </w:pPr>
      <w:r>
        <w:t xml:space="preserve">S3. Label-Quality Evaluation</w:t>
      </w:r>
    </w:p>
    <w:p>
      <w:pPr>
        <w:pStyle w:val="FirstParagraph"/>
      </w:pPr>
      <w:r>
        <w:t xml:space="preserve">Automated label quality was evaluated against the departure-aware benchmark subset (30 truth rows spanning 31 scored sequences). Macro F1 = 0.528; 10-bin expected calibration error (ECE) = 0.450 (0 = perfect calibration; 1 = worst); event-level detection F1 = 0.846 (precision 1.000 / recall 0.733); latency mean absolute error 37.9 s (p50 22 s, p90 83 s). Perfect detection precision indicates no false-positive alarms; recall of 0.733 means roughly one in four falls is missed. A confidence-filtered descriptive recomputation yielded chair 17.1 vs 17.8 and bed 4.2 vs 4.3 per 1,000 h, indicating rank-ordering robustness without resolving the calibration error.</w:t>
      </w:r>
    </w:p>
    <w:bookmarkEnd w:id="11"/>
    <w:bookmarkStart w:id="12" w:name="s4.-multimodal-llm-benchmark"/>
    <w:p>
      <w:pPr>
        <w:pStyle w:val="Heading1"/>
      </w:pPr>
      <w:r>
        <w:t xml:space="preserve">S4. Multimodal-LLM Benchmark</w:t>
      </w:r>
    </w:p>
    <w:p>
      <w:pPr>
        <w:pStyle w:val="FirstParagraph"/>
      </w:pPr>
      <w:r>
        <w:t xml:space="preserve">As an ancillary validation, three commercial LLMs (Gemini 2.5 Flash, 2.5 Pro, 3.1 Pro Preview) independently classified de-identified adjudicated event clips (81 clips from the v2 consensus package) for fall detection, pre-fall location, last-furniture provenance, and fall timing. The primary comparison used a 3-way overlap subset (n=42 visible rows). Results are precomputed (run timestamp 20260313T180809Z); commercial model weights update silently and exact results are not expected to regenerate. API model identifiers: gemini-2.5-flash, gemini-2.5-pro, gemini-3.1-pro-preview (as used at benchmark run time, 2026-03-13). This benchmark uses different denominators (3-way overlap, n=42 primary rows) than the primary pipeline; direct ranking is not appropriate.</w:t>
      </w:r>
    </w:p>
    <w:p>
      <w:pPr>
        <w:pStyle w:val="BodyText"/>
      </w:pPr>
      <w:r>
        <w:rPr>
          <w:b/>
          <w:bCs/>
        </w:rPr>
        <w:t xml:space="preserve">Table S2. Multimodal LLM fall-detection performance (3-way overlap subset, n=42 visible primary rows).</w:t>
      </w:r>
    </w:p>
    <w:tbl>
      <w:tblPr>
        <w:tblStyle w:val="Table"/>
        <w:tblW w:type="pct" w:w="4926"/>
        <w:tblLayout w:type="fixed"/>
        <w:tblLook w:firstRow="0" w:lastRow="0" w:firstColumn="0" w:lastColumn="0" w:noHBand="0" w:noVBand="0" w:val="0000"/>
      </w:tblPr>
      <w:tblGrid>
        <w:gridCol w:w="1455"/>
        <w:gridCol w:w="1339"/>
        <w:gridCol w:w="1572"/>
        <w:gridCol w:w="2038"/>
        <w:gridCol w:w="1397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Fall Sensitivity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Non-fall Specificity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Location Accuracy (detected)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Fall-time MAE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3.1 Pro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</w:tr>
    </w:tbl>
    <w:p>
      <w:pPr>
        <w:pStyle w:val="BodyText"/>
      </w:pPr>
      <w:r>
        <w:t xml:space="preserve">The collective finding is a sensitivity–specificity / sensitivity–timing tradeoff: no model achieved high recall, high specificity, and high location accuracy simultaneously. Most-missed falls were subtle or furniture-proximal events. The benchmark reinforces the primary pipeline’s label-quality narrative without entering the rate model.</w:t>
      </w:r>
    </w:p>
    <w:bookmarkEnd w:id="12"/>
    <w:bookmarkStart w:id="13" w:name="s5.-mechanism-coded-observation-cohort"/>
    <w:p>
      <w:pPr>
        <w:pStyle w:val="Heading1"/>
      </w:pPr>
      <w:r>
        <w:t xml:space="preserve">S5. Mechanism-Coded Observation Cohort</w:t>
      </w:r>
    </w:p>
    <w:p>
      <w:pPr>
        <w:pStyle w:val="FirstParagraph"/>
      </w:pPr>
      <w:r>
        <w:t xml:space="preserve">A separate observation cohort of 32 deduplicated fall events (from 32 included fall rows across 37 source rows; 4 no_fall rows and 1 unclassifiable empty event excluded) was assembled for mechanism coding via structured dual review by two co-author team members (ZD and PG); no independent external annotation was performed. Each event was classified into one of three mechanism categories: footrest/positioning, transfer failure, or other/unclassified. Among the 7 direct chair falls in this observation cohort, 6 carried a footrest/positioning tag. This cohort is not denominator-linked to the study-window adjudicated cohort and is reported for descriptive mechanism characterization only; mechanism proportions should not be interpreted as population prevalence estimates.</w:t>
      </w:r>
    </w:p>
    <w:p>
      <w:pPr>
        <w:pStyle w:val="BodyText"/>
      </w:pPr>
      <w:r>
        <w:rPr>
          <w:b/>
          <w:bCs/>
        </w:rPr>
        <w:t xml:space="preserve">Table S3. Fall mechanism taxonomy by pre-fall location (observation cohort, n=32 events).</w:t>
      </w: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2613"/>
        <w:gridCol w:w="1425"/>
        <w:gridCol w:w="1346"/>
        <w:gridCol w:w="1425"/>
        <w:gridCol w:w="95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Mechanism 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Chair (n=7)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Bed (n=12)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Room (n=13)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Footrest / positioning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(86%)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/ unclassified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(85%)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</w:tbl>
    <w:p>
      <w:pPr>
        <w:pStyle w:val="BodyText"/>
      </w:pPr>
      <w:r>
        <w:t xml:space="preserve">Last-furniture provenance was populated in 13/13 room events (bed 10, chair 3); where departure and fall clocks were available, time-since-departure had median 0.30 minutes (IQR 0.13–1.15; n=13).</w:t>
      </w:r>
    </w:p>
    <w:bookmarkEnd w:id="13"/>
    <w:bookmarkStart w:id="14" w:name="X74375641fa65f8b4e60ca07cc14aafe278a6e3a"/>
    <w:p>
      <w:pPr>
        <w:pStyle w:val="Heading1"/>
      </w:pPr>
      <w:r>
        <w:t xml:space="preserve">S6. Furniture-Origin Chain Analysis and Reclassification Sensitivity</w:t>
      </w:r>
    </w:p>
    <w:p>
      <w:pPr>
        <w:pStyle w:val="FirstParagraph"/>
      </w:pPr>
      <w:r>
        <w:t xml:space="preserve">Among the 30 evaluable events in the departure-aware benchmark subset, furniture-origin chain classification identified 6 direct chair falls, 11 direct bed falls, 3 chair-origin room falls (events where the patient was last observed in a chair before falling in the room), and 10 bed-origin room falls. Including the 3 chair-origin room events with the 6 direct chair falls yields 9 chair-associated events vs 6 when using only direct chair classification.</w:t>
      </w:r>
    </w:p>
    <w:p>
      <w:pPr>
        <w:pStyle w:val="BodyText"/>
      </w:pPr>
      <w:r>
        <w:rPr>
          <w:b/>
          <w:bCs/>
        </w:rPr>
        <w:t xml:space="preserve">Table S4. Event classification by furniture-origin chain (departure-aware benchmark subset, n=30).</w:t>
      </w:r>
    </w:p>
    <w:tbl>
      <w:tblPr>
        <w:tblStyle w:val="Table"/>
        <w:tblW w:type="pct" w:w="3542"/>
        <w:tblLayout w:type="fixed"/>
        <w:tblLook w:firstRow="0" w:lastRow="0" w:firstColumn="0" w:lastColumn="0" w:noHBand="0" w:noVBand="0" w:val="0000"/>
      </w:tblPr>
      <w:tblGrid>
        <w:gridCol w:w="2310"/>
        <w:gridCol w:w="1430"/>
        <w:gridCol w:w="187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Chain 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of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direct_bed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bed_origin_room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direct_chair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chair_origin_room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10.0%</w:t>
            </w:r>
          </w:p>
        </w:tc>
      </w:tr>
    </w:tbl>
    <w:p>
      <w:pPr>
        <w:pStyle w:val="BodyText"/>
      </w:pPr>
      <w:r>
        <w:t xml:space="preserve">Reassigning the 3 chair-origin room falls to 100% chair attribution did not materially change event allocation; the adjusted RR remained 2.35.</w:t>
      </w:r>
    </w:p>
    <w:p>
      <w:pPr>
        <w:pStyle w:val="BodyText"/>
      </w:pPr>
      <w:r>
        <w:t xml:space="preserve">Post-departure latency (furniture departure → fall): bed-origin median 18 s (IQR 7.0–56.5; max 136; n=10); chair-origin events at 8 s, 50 s, and 150 s (n=3).</w:t>
      </w:r>
    </w:p>
    <w:bookmarkEnd w:id="14"/>
    <w:bookmarkStart w:id="15" w:name="X137a968435fd8b0f088ab2dbb480d3f56f12087"/>
    <w:p>
      <w:pPr>
        <w:pStyle w:val="Heading1"/>
      </w:pPr>
      <w:r>
        <w:t xml:space="preserve">S7. Furniture-Exit Detection Concordance — Disclosure</w:t>
      </w:r>
    </w:p>
    <w:p>
      <w:pPr>
        <w:pStyle w:val="FirstParagraph"/>
      </w:pPr>
      <w:r>
        <w:t xml:space="preserve">For events with known last-furniture provenance and valid consensus departure timestamps, two AI departure signals (nudge-boundary crossing in the operational</w:t>
      </w:r>
      <w:r>
        <w:t xml:space="preserve"> </w:t>
      </w:r>
      <w:r>
        <w:rPr>
          <w:rStyle w:val="VerbatimChar"/>
        </w:rPr>
        <w:t xml:space="preserve">nudge_state</w:t>
      </w:r>
      <w:r>
        <w:t xml:space="preserve"> </w:t>
      </w:r>
      <w:r>
        <w:t xml:space="preserve">indicator, and location-label transition off the patient’s last-furniture label) were to be evaluated against the consensus reference as bias and MAE within a ±5-minute search window. The pre-specified evaluation was non-estimable on this extraction: no events met the evaluability gate after linkage and filtering. This is a data-availability gap (departure timestamps were not populated for events in the study-window adjudicated cohort after linkage), not evidence of zero timing error.</w:t>
      </w:r>
    </w:p>
    <w:bookmarkEnd w:id="15"/>
    <w:bookmarkStart w:id="16" w:name="X30ebb1169ce7f50908c379934270511d7888b29"/>
    <w:p>
      <w:pPr>
        <w:pStyle w:val="Heading1"/>
      </w:pPr>
      <w:r>
        <w:t xml:space="preserve">S8. Hard-Label Position Distribution at Alarm — Broader Monitoring Feed</w:t>
      </w:r>
    </w:p>
    <w:p>
      <w:pPr>
        <w:pStyle w:val="FirstParagraph"/>
      </w:pPr>
      <w:r>
        <w:t xml:space="preserve">Within the broader monitoring feed (2022-2026, n=91 deduplicated events), the AI-derived hard-label position distribution at alarm time was: bed (48; 52.7%), no_patient (23; 25.3%), room (12; 13.2%), chair (8; 8.8%). Hard labels are descriptive; the primary inference uses probability-weighted allocation inside the 40-event base.</w:t>
      </w:r>
    </w:p>
    <w:bookmarkEnd w:id="16"/>
    <w:bookmarkStart w:id="17" w:name="s9.-site-distribution"/>
    <w:p>
      <w:pPr>
        <w:pStyle w:val="Heading1"/>
      </w:pPr>
      <w:r>
        <w:t xml:space="preserve">S9. Site Distribution</w:t>
      </w:r>
    </w:p>
    <w:p>
      <w:pPr>
        <w:pStyle w:val="FirstParagraph"/>
      </w:pPr>
      <w:r>
        <w:t xml:space="preserve">Falls in the broader monitoring feed (n=91) spanned 10 divisions; site names are withheld per de-identification requirements. The top seven divisions accounted for 85 of 91 events.</w:t>
      </w:r>
    </w:p>
    <w:bookmarkEnd w:id="17"/>
    <w:bookmarkStart w:id="18" w:name="s10.-reproducibility-bundle"/>
    <w:p>
      <w:pPr>
        <w:pStyle w:val="Heading1"/>
      </w:pPr>
      <w:r>
        <w:t xml:space="preserve">S10. Reproducibility Bundle</w:t>
      </w:r>
    </w:p>
    <w:p>
      <w:pPr>
        <w:pStyle w:val="FirstParagraph"/>
      </w:pPr>
      <w:r>
        <w:t xml:space="preserve">The accompanying reproducibility bundle contains aggregate output tables and analysis scripts; see</w:t>
      </w:r>
      <w:r>
        <w:t xml:space="preserve"> </w:t>
      </w:r>
      <w:r>
        <w:rPr>
          <w:rStyle w:val="VerbatimChar"/>
        </w:rPr>
        <w:t xml:space="preserve">docs/reproduce_this_paper.md</w:t>
      </w:r>
      <w:r>
        <w:t xml:space="preserve">. Frozen run identifier:</w:t>
      </w:r>
      <w:r>
        <w:t xml:space="preserve"> </w:t>
      </w:r>
      <w:r>
        <w:rPr>
          <w:rStyle w:val="VerbatimChar"/>
        </w:rPr>
        <w:t xml:space="preserve">consensus_v3_refresh_20260320T215557Z</w:t>
      </w:r>
      <w:r>
        <w:t xml:space="preserve"> </w:t>
      </w:r>
      <w:r>
        <w:t xml:space="preserve">(fixture</w:t>
      </w:r>
      <w:r>
        <w:t xml:space="preserve"> </w:t>
      </w:r>
      <w:r>
        <w:rPr>
          <w:rStyle w:val="VerbatimChar"/>
        </w:rPr>
        <w:t xml:space="preserve">frozen_v1</w:t>
      </w:r>
      <w:r>
        <w:t xml:space="preserve">). Numbers reported in the main manuscript and this supplement trace deterministically to that run.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— Exposure-Normalized Bed and Chair Fall Rates via Continuous AI Monitoring</dc:title>
  <dc:creator/>
  <dc:language>en-US</dc:language>
  <cp:keywords/>
  <dcterms:created xsi:type="dcterms:W3CDTF">2026-04-30T19:41:18Z</dcterms:created>
  <dcterms:modified xsi:type="dcterms:W3CDTF">2026-04-30T19:41:18Z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arxiv/references.bib</vt:lpwstr>
  </property>
  <property fmtid="{D5CDD505-2E9C-101B-9397-08002B2CF9AE}" pid="3" name="classoption">
    <vt:lpwstr/>
  </property>
  <property fmtid="{D5CDD505-2E9C-101B-9397-08002B2CF9AE}" pid="4" name="colorlinks">
    <vt:lpwstr>True</vt:lpwstr>
  </property>
  <property fmtid="{D5CDD505-2E9C-101B-9397-08002B2CF9AE}" pid="5" name="csl">
    <vt:lpwstr>csl/ieee.csl</vt:lpwstr>
  </property>
  <property fmtid="{D5CDD505-2E9C-101B-9397-08002B2CF9AE}" pid="6" name="date">
    <vt:lpwstr/>
  </property>
  <property fmtid="{D5CDD505-2E9C-101B-9397-08002B2CF9AE}" pid="7" name="documentclass">
    <vt:lpwstr>article</vt:lpwstr>
  </property>
  <property fmtid="{D5CDD505-2E9C-101B-9397-08002B2CF9AE}" pid="8" name="fontsize">
    <vt:lpwstr>11pt</vt:lpwstr>
  </property>
  <property fmtid="{D5CDD505-2E9C-101B-9397-08002B2CF9AE}" pid="9" name="geometry">
    <vt:lpwstr/>
  </property>
  <property fmtid="{D5CDD505-2E9C-101B-9397-08002B2CF9AE}" pid="10" name="linestretch">
    <vt:lpwstr>1.15</vt:lpwstr>
  </property>
  <property fmtid="{D5CDD505-2E9C-101B-9397-08002B2CF9AE}" pid="11" name="linkcolor">
    <vt:lpwstr>blue</vt:lpwstr>
  </property>
  <property fmtid="{D5CDD505-2E9C-101B-9397-08002B2CF9AE}" pid="12" name="numbersections">
    <vt:lpwstr>False</vt:lpwstr>
  </property>
  <property fmtid="{D5CDD505-2E9C-101B-9397-08002B2CF9AE}" pid="13" name="papersize">
    <vt:lpwstr>letter</vt:lpwstr>
  </property>
  <property fmtid="{D5CDD505-2E9C-101B-9397-08002B2CF9AE}" pid="14" name="urlcolor">
    <vt:lpwstr>blue</vt:lpwstr>
  </property>
</Properties>
</file>