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rdylxwiotrbu" w:id="0"/>
      <w:bookmarkEnd w:id="0"/>
      <w:r w:rsidDel="00000000" w:rsidR="00000000" w:rsidRPr="00000000">
        <w:rPr>
          <w:rtl w:val="0"/>
        </w:rPr>
        <w:t xml:space="preserve">AI in Looker Technical Details</w:t>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v4jwnjzkz25"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There are two distinct AI/LLM solutions developed for Micron, ‘Explore Assistant’ (EA) and ‘Dashboard Summarizer’ (DS). Both are data driven chat experiences.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Explore Assistant is a multi-step chat agent which provides charts, queries and data based on user questions. This data is not invented or modified by the LLM; it is presented within the Looker ‘Explore’. It uses the established data models created in Looker to deliver accurate results. As of 4/21, this is deployed and working as a POC.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Dashboard Summarizer is a single-step chat agent which answers questions within Looker Dashboards. It uses data from the dashboard to give detailed analysis and interpretation. As of 4/21, this is being deployed and tested.</w:t>
      </w:r>
    </w:p>
    <w:p w:rsidR="00000000" w:rsidDel="00000000" w:rsidP="00000000" w:rsidRDefault="00000000" w:rsidRPr="00000000" w14:paraId="00000008">
      <w:pPr>
        <w:pStyle w:val="Heading1"/>
        <w:rPr/>
      </w:pPr>
      <w:bookmarkStart w:colFirst="0" w:colLast="0" w:name="_ypoqamxb7gpm" w:id="2"/>
      <w:bookmarkEnd w:id="2"/>
      <w:r w:rsidDel="00000000" w:rsidR="00000000" w:rsidRPr="00000000">
        <w:rPr>
          <w:rtl w:val="0"/>
        </w:rPr>
        <w:t xml:space="preserve">Issues Encountered and Solutions</w:t>
      </w:r>
    </w:p>
    <w:p w:rsidR="00000000" w:rsidDel="00000000" w:rsidP="00000000" w:rsidRDefault="00000000" w:rsidRPr="00000000" w14:paraId="00000009">
      <w:pPr>
        <w:rPr/>
      </w:pPr>
      <w:r w:rsidDel="00000000" w:rsidR="00000000" w:rsidRPr="00000000">
        <w:rPr>
          <w:rtl w:val="0"/>
        </w:rPr>
        <w:t xml:space="preserve">We’ve been partners with Google in developing and implementing Explore Assistant for many clients. Our standard deployment pipelines did not work within the Micron security framework. Here are the main issues we encountered, and our solutions.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wq9ymm3rvhj2" w:id="3"/>
      <w:bookmarkEnd w:id="3"/>
      <w:r w:rsidDel="00000000" w:rsidR="00000000" w:rsidRPr="00000000">
        <w:rPr>
          <w:rtl w:val="0"/>
        </w:rPr>
        <w:tab/>
        <w:t xml:space="preserve">Cloud Run Services Issues</w:t>
      </w:r>
    </w:p>
    <w:p w:rsidR="00000000" w:rsidDel="00000000" w:rsidP="00000000" w:rsidRDefault="00000000" w:rsidRPr="00000000" w14:paraId="0000000C">
      <w:pPr>
        <w:ind w:left="720" w:firstLine="0"/>
        <w:rPr/>
      </w:pPr>
      <w:r w:rsidDel="00000000" w:rsidR="00000000" w:rsidRPr="00000000">
        <w:rPr>
          <w:rtl w:val="0"/>
        </w:rPr>
        <w:t xml:space="preserve">Cloud run services in GCP were traditionally used to deploy a backend server for both EA and DS. Micron security policies are excellent, offer top notch protection, and present challenges.</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1"/>
        </w:numPr>
        <w:ind w:left="1440" w:hanging="360"/>
        <w:rPr>
          <w:u w:val="none"/>
        </w:rPr>
      </w:pPr>
      <w:r w:rsidDel="00000000" w:rsidR="00000000" w:rsidRPr="00000000">
        <w:rPr>
          <w:rtl w:val="0"/>
        </w:rPr>
        <w:t xml:space="preserve">Because we did not have GCP Administrative access in the Micron environment, we developed a Terraform script to simplify the deployment process. </w:t>
      </w:r>
    </w:p>
    <w:p w:rsidR="00000000" w:rsidDel="00000000" w:rsidP="00000000" w:rsidRDefault="00000000" w:rsidRPr="00000000" w14:paraId="0000000F">
      <w:pPr>
        <w:numPr>
          <w:ilvl w:val="0"/>
          <w:numId w:val="1"/>
        </w:numPr>
        <w:ind w:left="1440" w:hanging="360"/>
        <w:rPr>
          <w:u w:val="none"/>
        </w:rPr>
      </w:pPr>
      <w:r w:rsidDel="00000000" w:rsidR="00000000" w:rsidRPr="00000000">
        <w:rPr>
          <w:rtl w:val="0"/>
        </w:rPr>
        <w:t xml:space="preserve">Terraform scripts failed due to Micron security policies not allowing ‘unauthenticated access’ to these services.</w:t>
      </w:r>
    </w:p>
    <w:p w:rsidR="00000000" w:rsidDel="00000000" w:rsidP="00000000" w:rsidRDefault="00000000" w:rsidRPr="00000000" w14:paraId="00000010">
      <w:pPr>
        <w:numPr>
          <w:ilvl w:val="0"/>
          <w:numId w:val="1"/>
        </w:numPr>
        <w:ind w:left="1440" w:hanging="360"/>
        <w:rPr>
          <w:u w:val="none"/>
        </w:rPr>
      </w:pPr>
      <w:r w:rsidDel="00000000" w:rsidR="00000000" w:rsidRPr="00000000">
        <w:rPr>
          <w:rtl w:val="0"/>
        </w:rPr>
        <w:t xml:space="preserve">To access the Cloud Run backend, we attempted to switch to service-account based access, but impersonation of service accounts was not allowed.</w:t>
      </w:r>
    </w:p>
    <w:p w:rsidR="00000000" w:rsidDel="00000000" w:rsidP="00000000" w:rsidRDefault="00000000" w:rsidRPr="00000000" w14:paraId="00000011">
      <w:pPr>
        <w:numPr>
          <w:ilvl w:val="0"/>
          <w:numId w:val="1"/>
        </w:numPr>
        <w:ind w:left="1440" w:hanging="360"/>
        <w:rPr>
          <w:u w:val="none"/>
        </w:rPr>
      </w:pPr>
      <w:r w:rsidDel="00000000" w:rsidR="00000000" w:rsidRPr="00000000">
        <w:rPr>
          <w:rtl w:val="0"/>
        </w:rPr>
        <w:t xml:space="preserve">To access the Cloud Run backend, we attempted to deploy an API gateway, but service account access was also required, and use of service account credentials were not allowed.</w:t>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We attempted to access the Cloud Run backend through OAuth authentication, using a token exchange method. This is not possible within a front-end browser without service account impersonation.</w:t>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Instead of accessing the Cloud Run backend, we deprecated it. We </w:t>
      </w:r>
      <w:r w:rsidDel="00000000" w:rsidR="00000000" w:rsidRPr="00000000">
        <w:rPr>
          <w:i w:val="1"/>
          <w:rtl w:val="0"/>
        </w:rPr>
        <w:t xml:space="preserve">rewrote</w:t>
      </w:r>
      <w:r w:rsidDel="00000000" w:rsidR="00000000" w:rsidRPr="00000000">
        <w:rPr>
          <w:rtl w:val="0"/>
        </w:rPr>
        <w:t xml:space="preserve"> the Explore Assistant application as a serverless web service using OAuth, and invoking Vertex AI APIs directly from the users’ browser.</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Style w:val="Heading2"/>
        <w:rPr/>
      </w:pPr>
      <w:bookmarkStart w:colFirst="0" w:colLast="0" w:name="_vz8ppvix54yl" w:id="4"/>
      <w:bookmarkEnd w:id="4"/>
      <w:r w:rsidDel="00000000" w:rsidR="00000000" w:rsidRPr="00000000">
        <w:rPr>
          <w:rtl w:val="0"/>
        </w:rPr>
        <w:tab/>
        <w:t xml:space="preserve">Data Connection Issue</w:t>
      </w:r>
    </w:p>
    <w:p w:rsidR="00000000" w:rsidDel="00000000" w:rsidP="00000000" w:rsidRDefault="00000000" w:rsidRPr="00000000" w14:paraId="00000016">
      <w:pPr>
        <w:ind w:left="720" w:firstLine="0"/>
        <w:rPr/>
      </w:pPr>
      <w:r w:rsidDel="00000000" w:rsidR="00000000" w:rsidRPr="00000000">
        <w:rPr>
          <w:rtl w:val="0"/>
        </w:rPr>
        <w:t xml:space="preserve">Inside the new frontend service, the data connections Micron uses to Snowflake and Bigquery also used OAuth. An OAuth window for authentication into these data connections could not open, because they were inside 2 layers of iframes within the application, so the original ‘source’ is blocked from communication by browsers.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We have a workaround in place to open the first Explore in a new tab, so the user may authenticate the data connection from that tab.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If the user has not used Looker in a week, OAuth authentication for the BigQuery connection is also necessary. This error is not yet handled smoothly, but a plan is in place.</w:t>
      </w:r>
    </w:p>
    <w:p w:rsidR="00000000" w:rsidDel="00000000" w:rsidP="00000000" w:rsidRDefault="00000000" w:rsidRPr="00000000" w14:paraId="0000001B">
      <w:pPr>
        <w:pStyle w:val="Heading1"/>
        <w:rPr/>
      </w:pPr>
      <w:bookmarkStart w:colFirst="0" w:colLast="0" w:name="_78mwo6mor12j" w:id="5"/>
      <w:bookmarkEnd w:id="5"/>
      <w:r w:rsidDel="00000000" w:rsidR="00000000" w:rsidRPr="00000000">
        <w:rPr>
          <w:rtl w:val="0"/>
        </w:rPr>
        <w:t xml:space="preserve">Next Steps</w:t>
      </w:r>
    </w:p>
    <w:p w:rsidR="00000000" w:rsidDel="00000000" w:rsidP="00000000" w:rsidRDefault="00000000" w:rsidRPr="00000000" w14:paraId="0000001C">
      <w:pPr>
        <w:pStyle w:val="Heading2"/>
        <w:ind w:left="720" w:firstLine="0"/>
        <w:rPr/>
      </w:pPr>
      <w:bookmarkStart w:colFirst="0" w:colLast="0" w:name="_6hmc39bb6ezn" w:id="6"/>
      <w:bookmarkEnd w:id="6"/>
      <w:r w:rsidDel="00000000" w:rsidR="00000000" w:rsidRPr="00000000">
        <w:rPr>
          <w:rtl w:val="0"/>
        </w:rPr>
        <w:t xml:space="preserve">Smooth Out Authentication</w:t>
      </w:r>
    </w:p>
    <w:p w:rsidR="00000000" w:rsidDel="00000000" w:rsidP="00000000" w:rsidRDefault="00000000" w:rsidRPr="00000000" w14:paraId="0000001D">
      <w:pPr>
        <w:ind w:left="720" w:firstLine="0"/>
        <w:rPr/>
      </w:pPr>
      <w:r w:rsidDel="00000000" w:rsidR="00000000" w:rsidRPr="00000000">
        <w:rPr>
          <w:rtl w:val="0"/>
        </w:rPr>
        <w:t xml:space="preserve">OAuth sign-in is necessary to activate the Looker database connections. This can lead to errors if the user is not signed in. If sign-in is necessary, we should direct users to the accounts page where they can log in to every connection.</w:t>
      </w:r>
    </w:p>
    <w:p w:rsidR="00000000" w:rsidDel="00000000" w:rsidP="00000000" w:rsidRDefault="00000000" w:rsidRPr="00000000" w14:paraId="0000001E">
      <w:pPr>
        <w:pStyle w:val="Heading2"/>
        <w:ind w:left="720" w:firstLine="0"/>
        <w:rPr/>
      </w:pPr>
      <w:bookmarkStart w:colFirst="0" w:colLast="0" w:name="_c6c1f613l6hs" w:id="7"/>
      <w:bookmarkEnd w:id="7"/>
      <w:r w:rsidDel="00000000" w:rsidR="00000000" w:rsidRPr="00000000">
        <w:rPr>
          <w:rtl w:val="0"/>
        </w:rPr>
        <w:t xml:space="preserve">Tuning Explore Assistant</w:t>
      </w:r>
    </w:p>
    <w:p w:rsidR="00000000" w:rsidDel="00000000" w:rsidP="00000000" w:rsidRDefault="00000000" w:rsidRPr="00000000" w14:paraId="0000001F">
      <w:pPr>
        <w:ind w:left="720" w:firstLine="0"/>
        <w:rPr/>
      </w:pPr>
      <w:r w:rsidDel="00000000" w:rsidR="00000000" w:rsidRPr="00000000">
        <w:rPr>
          <w:rtl w:val="0"/>
        </w:rPr>
        <w:t xml:space="preserve">Explore assistant relies on user input to improve its responses. This process is outlined in </w:t>
      </w:r>
      <w:hyperlink r:id="rId6">
        <w:r w:rsidDel="00000000" w:rsidR="00000000" w:rsidRPr="00000000">
          <w:rPr>
            <w:color w:val="1155cc"/>
            <w:u w:val="single"/>
            <w:rtl w:val="0"/>
          </w:rPr>
          <w:t xml:space="preserve">this document</w:t>
        </w:r>
      </w:hyperlink>
      <w:r w:rsidDel="00000000" w:rsidR="00000000" w:rsidRPr="00000000">
        <w:rPr>
          <w:rtl w:val="0"/>
        </w:rPr>
        <w:t xml:space="preserve">. It needs to be performed for Shipments/Backlog data and LTA data.</w:t>
      </w:r>
    </w:p>
    <w:p w:rsidR="00000000" w:rsidDel="00000000" w:rsidP="00000000" w:rsidRDefault="00000000" w:rsidRPr="00000000" w14:paraId="00000020">
      <w:pPr>
        <w:pStyle w:val="Heading2"/>
        <w:ind w:left="720" w:firstLine="0"/>
        <w:rPr/>
      </w:pPr>
      <w:bookmarkStart w:colFirst="0" w:colLast="0" w:name="_k67k5nkftdp7" w:id="8"/>
      <w:bookmarkEnd w:id="8"/>
      <w:r w:rsidDel="00000000" w:rsidR="00000000" w:rsidRPr="00000000">
        <w:rPr>
          <w:rtl w:val="0"/>
        </w:rPr>
        <w:t xml:space="preserve">User Feedback Integration</w:t>
      </w:r>
    </w:p>
    <w:p w:rsidR="00000000" w:rsidDel="00000000" w:rsidP="00000000" w:rsidRDefault="00000000" w:rsidRPr="00000000" w14:paraId="00000021">
      <w:pPr>
        <w:ind w:left="720" w:firstLine="0"/>
        <w:rPr/>
      </w:pPr>
      <w:r w:rsidDel="00000000" w:rsidR="00000000" w:rsidRPr="00000000">
        <w:rPr>
          <w:rtl w:val="0"/>
        </w:rPr>
        <w:t xml:space="preserve">The above process can be simplified by enhancing the Explore assistant’s agent logic to handle complaints and over corrections interactively. This would improve the user experience by allowing it to learn immediately and continuously.</w:t>
      </w:r>
    </w:p>
    <w:p w:rsidR="00000000" w:rsidDel="00000000" w:rsidP="00000000" w:rsidRDefault="00000000" w:rsidRPr="00000000" w14:paraId="00000022">
      <w:pPr>
        <w:pStyle w:val="Heading2"/>
        <w:ind w:left="720" w:firstLine="0"/>
        <w:rPr/>
      </w:pPr>
      <w:bookmarkStart w:colFirst="0" w:colLast="0" w:name="_xa4x18d4jhjg" w:id="9"/>
      <w:bookmarkEnd w:id="9"/>
      <w:r w:rsidDel="00000000" w:rsidR="00000000" w:rsidRPr="00000000">
        <w:rPr>
          <w:rtl w:val="0"/>
        </w:rPr>
        <w:t xml:space="preserve">Prompt Engineering</w:t>
      </w:r>
    </w:p>
    <w:p w:rsidR="00000000" w:rsidDel="00000000" w:rsidP="00000000" w:rsidRDefault="00000000" w:rsidRPr="00000000" w14:paraId="00000023">
      <w:pPr>
        <w:ind w:left="720" w:firstLine="0"/>
        <w:rPr/>
      </w:pPr>
      <w:r w:rsidDel="00000000" w:rsidR="00000000" w:rsidRPr="00000000">
        <w:rPr>
          <w:rtl w:val="0"/>
        </w:rPr>
        <w:t xml:space="preserve">Explore assistant includes a default prompt context to help it compose the Looker Explore. To address any systematic issues with the tool, the prompt can be revised to improve performance. Additional data can also be injected into the context from internal documents.</w:t>
      </w:r>
    </w:p>
    <w:p w:rsidR="00000000" w:rsidDel="00000000" w:rsidP="00000000" w:rsidRDefault="00000000" w:rsidRPr="00000000" w14:paraId="00000024">
      <w:pPr>
        <w:pStyle w:val="Heading2"/>
        <w:ind w:left="720" w:firstLine="0"/>
        <w:rPr/>
      </w:pPr>
      <w:bookmarkStart w:colFirst="0" w:colLast="0" w:name="_z7cqs4ilir6e" w:id="10"/>
      <w:bookmarkEnd w:id="10"/>
      <w:r w:rsidDel="00000000" w:rsidR="00000000" w:rsidRPr="00000000">
        <w:rPr>
          <w:rtl w:val="0"/>
        </w:rPr>
        <w:t xml:space="preserve">Multi-Explore Expansion</w:t>
      </w:r>
    </w:p>
    <w:p w:rsidR="00000000" w:rsidDel="00000000" w:rsidP="00000000" w:rsidRDefault="00000000" w:rsidRPr="00000000" w14:paraId="00000025">
      <w:pPr>
        <w:ind w:left="720" w:firstLine="0"/>
        <w:rPr/>
      </w:pPr>
      <w:r w:rsidDel="00000000" w:rsidR="00000000" w:rsidRPr="00000000">
        <w:rPr>
          <w:rtl w:val="0"/>
        </w:rPr>
        <w:t xml:space="preserve">Explore Assistant currently operates based on user choice of an ‘explore’ or data model. We can instead detect the user’s intent and choose the appropriate model or explore.</w:t>
      </w:r>
    </w:p>
    <w:p w:rsidR="00000000" w:rsidDel="00000000" w:rsidP="00000000" w:rsidRDefault="00000000" w:rsidRPr="00000000" w14:paraId="00000026">
      <w:pPr>
        <w:pStyle w:val="Heading2"/>
        <w:ind w:left="720" w:firstLine="0"/>
        <w:rPr/>
      </w:pPr>
      <w:bookmarkStart w:colFirst="0" w:colLast="0" w:name="_wvvb54w7h4j" w:id="11"/>
      <w:bookmarkEnd w:id="11"/>
      <w:r w:rsidDel="00000000" w:rsidR="00000000" w:rsidRPr="00000000">
        <w:rPr>
          <w:rtl w:val="0"/>
        </w:rPr>
        <w:t xml:space="preserve">‘Agentic’ Workflows or Routing</w:t>
      </w:r>
    </w:p>
    <w:p w:rsidR="00000000" w:rsidDel="00000000" w:rsidP="00000000" w:rsidRDefault="00000000" w:rsidRPr="00000000" w14:paraId="00000027">
      <w:pPr>
        <w:ind w:left="720" w:firstLine="0"/>
        <w:rPr/>
      </w:pPr>
      <w:r w:rsidDel="00000000" w:rsidR="00000000" w:rsidRPr="00000000">
        <w:rPr>
          <w:rtl w:val="0"/>
        </w:rPr>
        <w:t xml:space="preserve">There is enormous potential with AI agents to do custom routing. This can be downloading a dashboard, building a presentation, or deep-link redirects or interactions with other applications. For example, we could send AI summaries or reports through Teams, or create new documents to share. This can be designed to meet emerging needs, and could make data-driven processes more efficient. It can be in either EA or DS, or both!</w:t>
      </w:r>
    </w:p>
    <w:p w:rsidR="00000000" w:rsidDel="00000000" w:rsidP="00000000" w:rsidRDefault="00000000" w:rsidRPr="00000000" w14:paraId="00000028">
      <w:pPr>
        <w:pStyle w:val="Heading1"/>
        <w:rPr/>
      </w:pPr>
      <w:bookmarkStart w:colFirst="0" w:colLast="0" w:name="_d1b1jpecr5w6" w:id="12"/>
      <w:bookmarkEnd w:id="12"/>
      <w:r w:rsidDel="00000000" w:rsidR="00000000" w:rsidRPr="00000000">
        <w:rPr>
          <w:rtl w:val="0"/>
        </w:rPr>
        <w:t xml:space="preserve">Source Code</w:t>
      </w:r>
    </w:p>
    <w:p w:rsidR="00000000" w:rsidDel="00000000" w:rsidP="00000000" w:rsidRDefault="00000000" w:rsidRPr="00000000" w14:paraId="00000029">
      <w:pPr>
        <w:rPr/>
      </w:pPr>
      <w:r w:rsidDel="00000000" w:rsidR="00000000" w:rsidRPr="00000000">
        <w:rPr>
          <w:rtl w:val="0"/>
        </w:rPr>
        <w:t xml:space="preserve">The source code for the micron specific EA and DS branches are: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hyperlink r:id="rId7">
        <w:r w:rsidDel="00000000" w:rsidR="00000000" w:rsidRPr="00000000">
          <w:rPr>
            <w:color w:val="1155cc"/>
            <w:u w:val="single"/>
            <w:rtl w:val="0"/>
          </w:rPr>
          <w:t xml:space="preserve">https://github.com/bytecodeio/dashboard-summarization/tree/arbitrary_calls_oauth</w:t>
        </w:r>
      </w:hyperlink>
      <w:r w:rsidDel="00000000" w:rsidR="00000000" w:rsidRPr="00000000">
        <w:rPr>
          <w:rtl w:val="0"/>
        </w:rPr>
      </w:r>
    </w:p>
    <w:p w:rsidR="00000000" w:rsidDel="00000000" w:rsidP="00000000" w:rsidRDefault="00000000" w:rsidRPr="00000000" w14:paraId="0000002C">
      <w:pPr>
        <w:rPr/>
      </w:pPr>
      <w:hyperlink r:id="rId8">
        <w:r w:rsidDel="00000000" w:rsidR="00000000" w:rsidRPr="00000000">
          <w:rPr>
            <w:color w:val="1155cc"/>
            <w:u w:val="single"/>
            <w:rtl w:val="0"/>
          </w:rPr>
          <w:t xml:space="preserve">https://github.com/bytecodeio/looker-explore-assistant/tree/use_google_auth</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README files in the repos discuss implementation. Compiled code is in the /dist directories.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b5ntrez1imb9" w:id="13"/>
      <w:bookmarkEnd w:id="13"/>
      <w:r w:rsidDel="00000000" w:rsidR="00000000" w:rsidRPr="00000000">
        <w:rPr>
          <w:rtl w:val="0"/>
        </w:rPr>
        <w:t xml:space="preserve">Other Google ML/AI Data Opportunities</w:t>
      </w:r>
    </w:p>
    <w:p w:rsidR="00000000" w:rsidDel="00000000" w:rsidP="00000000" w:rsidRDefault="00000000" w:rsidRPr="00000000" w14:paraId="00000031">
      <w:pPr>
        <w:rPr/>
      </w:pPr>
      <w:r w:rsidDel="00000000" w:rsidR="00000000" w:rsidRPr="00000000">
        <w:rPr>
          <w:rtl w:val="0"/>
        </w:rPr>
        <w:t xml:space="preserve">There are many new developments in the realm of Machine Learning and Data. Some of these were announced just last week, and we have been piloting others with Google.</w:t>
      </w:r>
    </w:p>
    <w:p w:rsidR="00000000" w:rsidDel="00000000" w:rsidP="00000000" w:rsidRDefault="00000000" w:rsidRPr="00000000" w14:paraId="00000032">
      <w:pPr>
        <w:ind w:left="720" w:firstLine="0"/>
        <w:rPr/>
      </w:pPr>
      <w:r w:rsidDel="00000000" w:rsidR="00000000" w:rsidRPr="00000000">
        <w:rPr>
          <w:rtl w:val="0"/>
        </w:rPr>
      </w:r>
    </w:p>
    <w:sectPr>
      <w:headerReference r:id="rId9" w:type="default"/>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color w:val="999999"/>
        <w:sz w:val="16"/>
        <w:szCs w:val="16"/>
      </w:rPr>
    </w:pPr>
    <w:r w:rsidDel="00000000" w:rsidR="00000000" w:rsidRPr="00000000">
      <w:rPr>
        <w:color w:val="999999"/>
        <w:sz w:val="16"/>
        <w:szCs w:val="16"/>
        <w:rtl w:val="0"/>
      </w:rPr>
      <w:t xml:space="preserve">Bytecode IO, Inc</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color w:val="999999"/>
        <w:sz w:val="16"/>
        <w:szCs w:val="16"/>
        <w:rtl w:val="0"/>
      </w:rPr>
      <w:t xml:space="preserve">www.bytecode.io</w:t>
      <w:tab/>
      <w:tab/>
      <w:tab/>
    </w:r>
    <w:r w:rsidDel="00000000" w:rsidR="00000000" w:rsidRPr="00000000">
      <w:rPr>
        <w:sz w:val="32"/>
        <w:szCs w:val="32"/>
        <w:rtl w:val="0"/>
      </w:rPr>
      <w:t xml:space="preserve">Conversational Analytics</w:t>
    </w:r>
  </w:p>
  <w:p w:rsidR="00000000" w:rsidDel="00000000" w:rsidP="00000000" w:rsidRDefault="00000000" w:rsidRPr="00000000" w14:paraId="0000003A">
    <w:pPr>
      <w:ind w:left="720" w:firstLine="0"/>
      <w:rPr/>
    </w:pPr>
    <w:r w:rsidDel="00000000" w:rsidR="00000000" w:rsidRPr="00000000">
      <w:rPr>
        <w:rtl w:val="0"/>
      </w:rPr>
      <w:t xml:space="preserve">Conversational Analytics is a simple-to-install analogue of Explore Assistant. It is not yet highly customizable. It is backed by a reasoning agent that can write and execute code for complex analysis. It responds in natural language AND reliable Looker charts and graphs. </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The backend API for Conversational Analytics is available in beta. We can get the ‘best of both worlds’ by integrating this with Explore Assistant or plugging it in to any other agents Micron has built. We’re currently working on this with other businesses.</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pStyle w:val="Heading2"/>
      <w:ind w:left="720" w:firstLine="0"/>
      <w:rPr/>
    </w:pPr>
    <w:bookmarkStart w:colFirst="0" w:colLast="0" w:name="_yfa6by1pj8cx" w:id="14"/>
    <w:bookmarkEnd w:id="14"/>
    <w:r w:rsidDel="00000000" w:rsidR="00000000" w:rsidRPr="00000000">
      <w:rPr>
        <w:rtl w:val="0"/>
      </w:rPr>
      <w:t xml:space="preserve">LookML Coding Agent</w:t>
    </w:r>
  </w:p>
  <w:p w:rsidR="00000000" w:rsidDel="00000000" w:rsidP="00000000" w:rsidRDefault="00000000" w:rsidRPr="00000000" w14:paraId="0000003F">
    <w:pPr>
      <w:ind w:left="720" w:firstLine="0"/>
      <w:rPr/>
    </w:pPr>
    <w:r w:rsidDel="00000000" w:rsidR="00000000" w:rsidRPr="00000000">
      <w:rPr>
        <w:rtl w:val="0"/>
      </w:rPr>
      <w:t xml:space="preserve">Google is currently developing an agent to assist with writing and managing LookML inside the Looker developer interface. This is a bleeding edge product and we can’t yet recommend it.</w:t>
    </w:r>
  </w:p>
  <w:p w:rsidR="00000000" w:rsidDel="00000000" w:rsidP="00000000" w:rsidRDefault="00000000" w:rsidRPr="00000000" w14:paraId="00000040">
    <w:pPr>
      <w:pStyle w:val="Heading2"/>
      <w:ind w:left="720" w:firstLine="0"/>
      <w:rPr/>
    </w:pPr>
    <w:bookmarkStart w:colFirst="0" w:colLast="0" w:name="_ra1ree9yj13d" w:id="15"/>
    <w:bookmarkEnd w:id="15"/>
    <w:r w:rsidDel="00000000" w:rsidR="00000000" w:rsidRPr="00000000">
      <w:rPr>
        <w:rtl w:val="0"/>
      </w:rPr>
      <w:t xml:space="preserve">Agent Builder</w:t>
    </w:r>
  </w:p>
  <w:p w:rsidR="00000000" w:rsidDel="00000000" w:rsidP="00000000" w:rsidRDefault="00000000" w:rsidRPr="00000000" w14:paraId="00000041">
    <w:pPr>
      <w:ind w:left="720" w:firstLine="0"/>
      <w:rPr/>
    </w:pPr>
    <w:r w:rsidDel="00000000" w:rsidR="00000000" w:rsidRPr="00000000">
      <w:rPr>
        <w:rtl w:val="0"/>
      </w:rPr>
      <w:t xml:space="preserve">Agent Builder is a new Google product that gives a nice UI for creating chatbots. It is not ‘inside’ Looker, but we could use Looker as one of the many data sources for it. It is easy to use this to capitalize on informal data sources like Slack, document repositories or public websites.</w:t>
    </w:r>
  </w:p>
  <w:p w:rsidR="00000000" w:rsidDel="00000000" w:rsidP="00000000" w:rsidRDefault="00000000" w:rsidRPr="00000000" w14:paraId="00000042">
    <w:pPr>
      <w:pStyle w:val="Heading2"/>
      <w:ind w:left="720" w:firstLine="0"/>
      <w:rPr/>
    </w:pPr>
    <w:bookmarkStart w:colFirst="0" w:colLast="0" w:name="_4ai863791r3i" w:id="16"/>
    <w:bookmarkEnd w:id="16"/>
    <w:r w:rsidDel="00000000" w:rsidR="00000000" w:rsidRPr="00000000">
      <w:rPr>
        <w:rtl w:val="0"/>
      </w:rPr>
      <w:t xml:space="preserve">Bigquery Data Agent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color w:val="999999"/>
        <w:sz w:val="16"/>
        <w:szCs w:val="16"/>
      </w:rPr>
    </w:pPr>
    <w:r w:rsidDel="00000000" w:rsidR="00000000" w:rsidRPr="00000000">
      <w:rPr>
        <w:rtl w:val="0"/>
      </w:rPr>
      <w:t xml:space="preserve">Data based predictions, homogenization, and realtime agents can be built directly on top of Bigquery. If you want to create and modify data or make autonomous agents, this is a great technology to build on top of. It is more mature than any of the other technologies noted. It requires LLM model fine tuning, which is automated, quick but can be expensive.</w:t>
    </w:r>
    <w:r w:rsidDel="00000000" w:rsidR="00000000" w:rsidRPr="00000000">
      <w:rPr>
        <w:color w:val="999999"/>
        <w:sz w:val="16"/>
        <w:szCs w:val="16"/>
        <w:rtl w:val="0"/>
      </w:rPr>
      <w:tab/>
      <w:tab/>
      <w:tab/>
      <w:tab/>
      <w:tab/>
      <w:tab/>
      <w:tab/>
      <w:tab/>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217323" cy="5953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7323" cy="595313"/>
                  </a:xfrm>
                  <a:prstGeom prst="rect"/>
                  <a:ln/>
                </pic:spPr>
              </pic:pic>
            </a:graphicData>
          </a:graphic>
        </wp:anchor>
      </w:drawing>
    </w:r>
  </w:p>
  <w:p w:rsidR="00000000" w:rsidDel="00000000" w:rsidP="00000000" w:rsidRDefault="00000000" w:rsidRPr="00000000" w14:paraId="0000003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rtl w:val="0"/>
      </w:rPr>
    </w:r>
  </w:p>
  <w:p w:rsidR="00000000" w:rsidDel="00000000" w:rsidP="00000000" w:rsidRDefault="00000000" w:rsidRPr="00000000" w14:paraId="0000003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rtl w:val="0"/>
      </w:rPr>
    </w:r>
  </w:p>
  <w:p w:rsidR="00000000" w:rsidDel="00000000" w:rsidP="00000000" w:rsidRDefault="00000000" w:rsidRPr="00000000" w14:paraId="0000003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rtl w:val="0"/>
      </w:rPr>
    </w:r>
  </w:p>
  <w:p w:rsidR="00000000" w:rsidDel="00000000" w:rsidP="00000000" w:rsidRDefault="00000000" w:rsidRPr="00000000" w14:paraId="0000003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vkCgabg_vqO4Z2Bj76wtoTccF_ntDF5bJtKAmriFIR4/edit?usp=sharing" TargetMode="External"/><Relationship Id="rId7" Type="http://schemas.openxmlformats.org/officeDocument/2006/relationships/hyperlink" Target="https://github.com/bytecodeio/dashboard-summarization/tree/arbitrary_calls_oauth" TargetMode="External"/><Relationship Id="rId8" Type="http://schemas.openxmlformats.org/officeDocument/2006/relationships/hyperlink" Target="https://github.com/bytecodeio/looker-explore-assistant/tree/use_google_aut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