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desg8wblrsuy" w:id="0"/>
      <w:bookmarkEnd w:id="0"/>
      <w:r w:rsidDel="00000000" w:rsidR="00000000" w:rsidRPr="00000000">
        <w:rPr>
          <w:rtl w:val="0"/>
        </w:rPr>
      </w:r>
    </w:p>
    <w:p w:rsidR="00000000" w:rsidDel="00000000" w:rsidP="00000000" w:rsidRDefault="00000000" w:rsidRPr="00000000" w14:paraId="00000002">
      <w:pPr>
        <w:pStyle w:val="Title"/>
        <w:pageBreakBefore w:val="0"/>
        <w:rPr/>
      </w:pPr>
      <w:bookmarkStart w:colFirst="0" w:colLast="0" w:name="_rdylxwiotrbu" w:id="1"/>
      <w:bookmarkEnd w:id="1"/>
      <w:r w:rsidDel="00000000" w:rsidR="00000000" w:rsidRPr="00000000">
        <w:rPr>
          <w:rtl w:val="0"/>
        </w:rPr>
        <w:t xml:space="preserve">Looker Security / Architecture Review</w:t>
      </w:r>
    </w:p>
    <w:p w:rsidR="00000000" w:rsidDel="00000000" w:rsidP="00000000" w:rsidRDefault="00000000" w:rsidRPr="00000000" w14:paraId="00000003">
      <w:pPr>
        <w:pStyle w:val="Subtitle"/>
        <w:pageBreakBefore w:val="0"/>
        <w:rPr/>
      </w:pPr>
      <w:bookmarkStart w:colFirst="0" w:colLast="0" w:name="_ootgftj5zdz7" w:id="2"/>
      <w:bookmarkEnd w:id="2"/>
      <w:r w:rsidDel="00000000" w:rsidR="00000000" w:rsidRPr="00000000">
        <w:rPr>
          <w:rtl w:val="0"/>
        </w:rPr>
        <w:t xml:space="preserve">Recommendations</w:t>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v4jwnjzkz25" w:id="3"/>
      <w:bookmarkEnd w:id="3"/>
      <w:r w:rsidDel="00000000" w:rsidR="00000000" w:rsidRPr="00000000">
        <w:rPr>
          <w:rtl w:val="0"/>
        </w:rPr>
        <w:t xml:space="preserve">Overall Observations</w:t>
      </w:r>
    </w:p>
    <w:p w:rsidR="00000000" w:rsidDel="00000000" w:rsidP="00000000" w:rsidRDefault="00000000" w:rsidRPr="00000000" w14:paraId="00000005">
      <w:pPr>
        <w:pageBreakBefore w:val="0"/>
        <w:rPr/>
      </w:pPr>
      <w:r w:rsidDel="00000000" w:rsidR="00000000" w:rsidRPr="00000000">
        <w:rPr>
          <w:rtl w:val="0"/>
        </w:rPr>
        <w:t xml:space="preserve">In general, Micron has developed an impressive plan that is sound as-is. We agree with the decision to handle data security upstream in the database layer and handle user authentication through OAuth + SSO. This approach is scalable and will simplify the Looker implementation.</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There may be room for improvement and to accommodate known future requirements by revisiting use of model sets and a multi-instance with CICD Looker implementation.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rPr/>
      </w:pPr>
      <w:bookmarkStart w:colFirst="0" w:colLast="0" w:name="_hbanofhx13yk" w:id="4"/>
      <w:bookmarkEnd w:id="4"/>
      <w:r w:rsidDel="00000000" w:rsidR="00000000" w:rsidRPr="00000000">
        <w:rPr>
          <w:rtl w:val="0"/>
        </w:rPr>
        <w:t xml:space="preserve">Test vs Prod</w:t>
      </w:r>
    </w:p>
    <w:p w:rsidR="00000000" w:rsidDel="00000000" w:rsidP="00000000" w:rsidRDefault="00000000" w:rsidRPr="00000000" w14:paraId="0000000A">
      <w:pPr>
        <w:rPr/>
      </w:pPr>
      <w:r w:rsidDel="00000000" w:rsidR="00000000" w:rsidRPr="00000000">
        <w:rPr>
          <w:rtl w:val="0"/>
        </w:rPr>
        <w:t xml:space="preserve">Requirement: There will be a need for read-only production content (dashboards &amp; explores) plus pre-production content used by non-developer testers. Recommendations:</w:t>
      </w:r>
    </w:p>
    <w:p w:rsidR="00000000" w:rsidDel="00000000" w:rsidP="00000000" w:rsidRDefault="00000000" w:rsidRPr="00000000" w14:paraId="0000000B">
      <w:pPr>
        <w:pStyle w:val="Heading3"/>
        <w:rPr/>
      </w:pPr>
      <w:bookmarkStart w:colFirst="0" w:colLast="0" w:name="_wah8znaivq7c" w:id="5"/>
      <w:bookmarkEnd w:id="5"/>
      <w:r w:rsidDel="00000000" w:rsidR="00000000" w:rsidRPr="00000000">
        <w:rPr>
          <w:rtl w:val="0"/>
        </w:rPr>
        <w:t xml:space="preserve">Option A</w:t>
      </w:r>
    </w:p>
    <w:p w:rsidR="00000000" w:rsidDel="00000000" w:rsidP="00000000" w:rsidRDefault="00000000" w:rsidRPr="00000000" w14:paraId="0000000C">
      <w:pPr>
        <w:rPr/>
      </w:pPr>
      <w:r w:rsidDel="00000000" w:rsidR="00000000" w:rsidRPr="00000000">
        <w:rPr>
          <w:rtl w:val="0"/>
        </w:rPr>
        <w:t xml:space="preserve">Procure multiple Looker instances. Establish CI/CD. Use LookML dashboards to migrate content. See </w:t>
      </w:r>
      <w:hyperlink w:anchor="_h8caqumgp3zg">
        <w:r w:rsidDel="00000000" w:rsidR="00000000" w:rsidRPr="00000000">
          <w:rPr>
            <w:color w:val="1155cc"/>
            <w:u w:val="single"/>
            <w:rtl w:val="0"/>
          </w:rPr>
          <w:t xml:space="preserve">Dev/CI/CD plan A</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Pro: Less chance for errors. </w:t>
      </w:r>
    </w:p>
    <w:p w:rsidR="00000000" w:rsidDel="00000000" w:rsidP="00000000" w:rsidRDefault="00000000" w:rsidRPr="00000000" w14:paraId="0000000E">
      <w:pPr>
        <w:rPr/>
      </w:pPr>
      <w:r w:rsidDel="00000000" w:rsidR="00000000" w:rsidRPr="00000000">
        <w:rPr>
          <w:rtl w:val="0"/>
        </w:rPr>
        <w:t xml:space="preserve">Con: Costly.</w:t>
      </w:r>
      <w:r w:rsidDel="00000000" w:rsidR="00000000" w:rsidRPr="00000000">
        <w:rPr>
          <w:rtl w:val="0"/>
        </w:rPr>
      </w:r>
    </w:p>
    <w:p w:rsidR="00000000" w:rsidDel="00000000" w:rsidP="00000000" w:rsidRDefault="00000000" w:rsidRPr="00000000" w14:paraId="0000000F">
      <w:pPr>
        <w:pStyle w:val="Heading3"/>
        <w:rPr/>
      </w:pPr>
      <w:bookmarkStart w:colFirst="0" w:colLast="0" w:name="_i9iuhm1kbjul" w:id="6"/>
      <w:bookmarkEnd w:id="6"/>
      <w:r w:rsidDel="00000000" w:rsidR="00000000" w:rsidRPr="00000000">
        <w:rPr>
          <w:rtl w:val="0"/>
        </w:rPr>
        <w:t xml:space="preserve">Option B</w:t>
      </w:r>
    </w:p>
    <w:p w:rsidR="00000000" w:rsidDel="00000000" w:rsidP="00000000" w:rsidRDefault="00000000" w:rsidRPr="00000000" w14:paraId="00000010">
      <w:pPr>
        <w:rPr/>
      </w:pPr>
      <w:r w:rsidDel="00000000" w:rsidR="00000000" w:rsidRPr="00000000">
        <w:rPr>
          <w:rtl w:val="0"/>
        </w:rPr>
        <w:t xml:space="preserve">Separate DB conns maintained (DEV, STAGE, PROD); Separate, parallel models within each project to differentiate connection; LookML dashboards used for testing; model sets used for selective access; See </w:t>
      </w:r>
      <w:hyperlink w:anchor="_fch8eknozbhy">
        <w:r w:rsidDel="00000000" w:rsidR="00000000" w:rsidRPr="00000000">
          <w:rPr>
            <w:color w:val="1155cc"/>
            <w:u w:val="single"/>
            <w:rtl w:val="0"/>
          </w:rPr>
          <w:t xml:space="preserve">Dev/CI/CD plan B</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Pro: Greater flexibility for testing. </w:t>
      </w:r>
    </w:p>
    <w:p w:rsidR="00000000" w:rsidDel="00000000" w:rsidP="00000000" w:rsidRDefault="00000000" w:rsidRPr="00000000" w14:paraId="00000012">
      <w:pPr>
        <w:rPr/>
      </w:pPr>
      <w:r w:rsidDel="00000000" w:rsidR="00000000" w:rsidRPr="00000000">
        <w:rPr>
          <w:rtl w:val="0"/>
        </w:rPr>
        <w:t xml:space="preserve">Con: Requires developer training (~30m, Bytecode can provide)</w:t>
      </w:r>
      <w:r w:rsidDel="00000000" w:rsidR="00000000" w:rsidRPr="00000000">
        <w:rPr>
          <w:rtl w:val="0"/>
        </w:rPr>
      </w:r>
    </w:p>
    <w:p w:rsidR="00000000" w:rsidDel="00000000" w:rsidP="00000000" w:rsidRDefault="00000000" w:rsidRPr="00000000" w14:paraId="00000013">
      <w:pPr>
        <w:pStyle w:val="Heading1"/>
        <w:rPr/>
      </w:pPr>
      <w:bookmarkStart w:colFirst="0" w:colLast="0" w:name="_8yuf3lwj4chc" w:id="7"/>
      <w:bookmarkEnd w:id="7"/>
      <w:r w:rsidDel="00000000" w:rsidR="00000000" w:rsidRPr="00000000">
        <w:rPr>
          <w:rtl w:val="0"/>
        </w:rPr>
        <w:t xml:space="preserve">Content Visibility Curation</w:t>
      </w:r>
    </w:p>
    <w:p w:rsidR="00000000" w:rsidDel="00000000" w:rsidP="00000000" w:rsidRDefault="00000000" w:rsidRPr="00000000" w14:paraId="00000014">
      <w:pPr>
        <w:rPr/>
      </w:pPr>
      <w:r w:rsidDel="00000000" w:rsidR="00000000" w:rsidRPr="00000000">
        <w:rPr>
          <w:rtl w:val="0"/>
        </w:rPr>
        <w:t xml:space="preserve">Requirement: End users in production should not see any content (dashboards &amp; explores) that could be used to launch queries against data they do not have access to. This can be controlled by model sets. Developers should have access to _dev, _stg and _prd model sets (within their domain). Testers should have access to the staging model sets. End-users should have access only to production model sets.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Option A is used, model sets will only be defined on their appropriate servers (so the model set finance_stg will only be defined on the staging server). With Option B, the model sets can have the same name.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This will restrict users from being able to see dashboards they don’t have access to. Dashboards can be bundled together for consumption by end-users by using Boards.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rPr/>
      </w:pPr>
      <w:bookmarkStart w:colFirst="0" w:colLast="0" w:name="_ukeh70apfzt8" w:id="8"/>
      <w:bookmarkEnd w:id="8"/>
      <w:r w:rsidDel="00000000" w:rsidR="00000000" w:rsidRPr="00000000">
        <w:rPr>
          <w:rtl w:val="0"/>
        </w:rPr>
        <w:t xml:space="preserve">Other Questions</w:t>
      </w:r>
    </w:p>
    <w:p w:rsidR="00000000" w:rsidDel="00000000" w:rsidP="00000000" w:rsidRDefault="00000000" w:rsidRPr="00000000" w14:paraId="0000001B">
      <w:pPr>
        <w:pStyle w:val="Heading2"/>
        <w:rPr/>
      </w:pPr>
      <w:bookmarkStart w:colFirst="0" w:colLast="0" w:name="_byeh03dq92z7" w:id="9"/>
      <w:bookmarkEnd w:id="9"/>
      <w:r w:rsidDel="00000000" w:rsidR="00000000" w:rsidRPr="00000000">
        <w:rPr>
          <w:rtl w:val="0"/>
        </w:rPr>
        <w:t xml:space="preserve">Caching</w:t>
      </w:r>
    </w:p>
    <w:p w:rsidR="00000000" w:rsidDel="00000000" w:rsidP="00000000" w:rsidRDefault="00000000" w:rsidRPr="00000000" w14:paraId="0000001C">
      <w:pPr>
        <w:rPr/>
      </w:pPr>
      <w:r w:rsidDel="00000000" w:rsidR="00000000" w:rsidRPr="00000000">
        <w:rPr>
          <w:rtl w:val="0"/>
        </w:rPr>
        <w:t xml:space="preserve">Please review the documentation </w:t>
      </w:r>
      <w:hyperlink r:id="rId6">
        <w:r w:rsidDel="00000000" w:rsidR="00000000" w:rsidRPr="00000000">
          <w:rPr>
            <w:color w:val="1155cc"/>
            <w:u w:val="single"/>
            <w:rtl w:val="0"/>
          </w:rPr>
          <w:t xml:space="preserve">https://cloud.google.com/looker/docs/caching-and-datagroups</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From the above documentation, here are several pertinent facts:</w:t>
      </w:r>
    </w:p>
    <w:p w:rsidR="00000000" w:rsidDel="00000000" w:rsidP="00000000" w:rsidRDefault="00000000" w:rsidRPr="00000000" w14:paraId="0000001E">
      <w:pPr>
        <w:numPr>
          <w:ilvl w:val="0"/>
          <w:numId w:val="1"/>
        </w:numPr>
        <w:ind w:left="720" w:hanging="360"/>
        <w:rPr>
          <w:sz w:val="22"/>
          <w:szCs w:val="22"/>
        </w:rPr>
      </w:pPr>
      <w:r w:rsidDel="00000000" w:rsidR="00000000" w:rsidRPr="00000000">
        <w:rPr>
          <w:rtl w:val="0"/>
        </w:rPr>
        <w:t xml:space="preserve">Caching is automatic in Looker and cannot be disabled entirely</w:t>
      </w:r>
    </w:p>
    <w:p w:rsidR="00000000" w:rsidDel="00000000" w:rsidP="00000000" w:rsidRDefault="00000000" w:rsidRPr="00000000" w14:paraId="0000001F">
      <w:pPr>
        <w:numPr>
          <w:ilvl w:val="0"/>
          <w:numId w:val="1"/>
        </w:numPr>
        <w:ind w:left="720" w:hanging="360"/>
        <w:rPr>
          <w:sz w:val="22"/>
          <w:szCs w:val="22"/>
        </w:rPr>
      </w:pPr>
      <w:r w:rsidDel="00000000" w:rsidR="00000000" w:rsidRPr="00000000">
        <w:rPr>
          <w:rtl w:val="0"/>
        </w:rPr>
        <w:t xml:space="preserve">It will be stored locally and encrypted </w:t>
      </w:r>
    </w:p>
    <w:p w:rsidR="00000000" w:rsidDel="00000000" w:rsidP="00000000" w:rsidRDefault="00000000" w:rsidRPr="00000000" w14:paraId="00000020">
      <w:pPr>
        <w:numPr>
          <w:ilvl w:val="0"/>
          <w:numId w:val="1"/>
        </w:numPr>
        <w:ind w:left="720" w:hanging="360"/>
        <w:rPr>
          <w:sz w:val="22"/>
          <w:szCs w:val="22"/>
        </w:rPr>
      </w:pPr>
      <w:r w:rsidDel="00000000" w:rsidR="00000000" w:rsidRPr="00000000">
        <w:rPr>
          <w:rtl w:val="0"/>
        </w:rPr>
        <w:t xml:space="preserve">We can disable all egress or use of the cache by adding code to each Model</w:t>
      </w:r>
    </w:p>
    <w:p w:rsidR="00000000" w:rsidDel="00000000" w:rsidP="00000000" w:rsidRDefault="00000000" w:rsidRPr="00000000" w14:paraId="00000021">
      <w:pPr>
        <w:numPr>
          <w:ilvl w:val="1"/>
          <w:numId w:val="1"/>
        </w:numPr>
        <w:ind w:left="1440" w:hanging="360"/>
        <w:rPr>
          <w:sz w:val="22"/>
          <w:szCs w:val="22"/>
        </w:rPr>
      </w:pPr>
      <w:r w:rsidDel="00000000" w:rsidR="00000000" w:rsidRPr="00000000">
        <w:rPr>
          <w:rtl w:val="0"/>
        </w:rPr>
        <w:t xml:space="preserve">Persist_for: “0 minutes”</w:t>
      </w:r>
    </w:p>
    <w:p w:rsidR="00000000" w:rsidDel="00000000" w:rsidP="00000000" w:rsidRDefault="00000000" w:rsidRPr="00000000" w14:paraId="00000022">
      <w:pPr>
        <w:numPr>
          <w:ilvl w:val="0"/>
          <w:numId w:val="1"/>
        </w:numPr>
        <w:ind w:left="720" w:hanging="360"/>
        <w:rPr>
          <w:sz w:val="22"/>
          <w:szCs w:val="22"/>
        </w:rPr>
      </w:pPr>
      <w:r w:rsidDel="00000000" w:rsidR="00000000" w:rsidRPr="00000000">
        <w:rPr>
          <w:rtl w:val="0"/>
        </w:rPr>
        <w:t xml:space="preserve">Need a mechanism in place to ensure this is present in each model for each PR.</w:t>
      </w:r>
    </w:p>
    <w:p w:rsidR="00000000" w:rsidDel="00000000" w:rsidP="00000000" w:rsidRDefault="00000000" w:rsidRPr="00000000" w14:paraId="00000023">
      <w:pPr>
        <w:pStyle w:val="Heading2"/>
        <w:rPr/>
      </w:pPr>
      <w:bookmarkStart w:colFirst="0" w:colLast="0" w:name="_j4qmj68rlevx" w:id="10"/>
      <w:bookmarkEnd w:id="10"/>
      <w:r w:rsidDel="00000000" w:rsidR="00000000" w:rsidRPr="00000000">
        <w:rPr>
          <w:rtl w:val="0"/>
        </w:rPr>
        <w:t xml:space="preserve">Pull Requests &amp; Git server Tests</w:t>
      </w:r>
    </w:p>
    <w:p w:rsidR="00000000" w:rsidDel="00000000" w:rsidP="00000000" w:rsidRDefault="00000000" w:rsidRPr="00000000" w14:paraId="00000024">
      <w:pPr>
        <w:rPr/>
      </w:pPr>
      <w:r w:rsidDel="00000000" w:rsidR="00000000" w:rsidRPr="00000000">
        <w:rPr>
          <w:rtl w:val="0"/>
        </w:rPr>
        <w:t xml:space="preserve">It is possible to mandate pull requests be used for changing LookML code. This is a per-project (per-repo) setting. Documentation: </w:t>
      </w:r>
      <w:hyperlink r:id="rId7">
        <w:r w:rsidDel="00000000" w:rsidR="00000000" w:rsidRPr="00000000">
          <w:rPr>
            <w:color w:val="1155cc"/>
            <w:u w:val="single"/>
            <w:rtl w:val="0"/>
          </w:rPr>
          <w:t xml:space="preserve">https://cloud.google.com/looker/docs/git-options#integrating_pull_requests_for_your_project</w:t>
        </w:r>
      </w:hyperlink>
      <w:r w:rsidDel="00000000" w:rsidR="00000000" w:rsidRPr="00000000">
        <w:rPr>
          <w:rtl w:val="0"/>
        </w:rPr>
        <w:t xml:space="preserve"> </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We recommend requiring pull requests on all Looker Projects. Then, in bitbucket add required PR tests:</w:t>
      </w:r>
    </w:p>
    <w:p w:rsidR="00000000" w:rsidDel="00000000" w:rsidP="00000000" w:rsidRDefault="00000000" w:rsidRPr="00000000" w14:paraId="00000027">
      <w:pPr>
        <w:numPr>
          <w:ilvl w:val="0"/>
          <w:numId w:val="2"/>
        </w:numPr>
        <w:ind w:left="720" w:hanging="360"/>
        <w:rPr>
          <w:sz w:val="22"/>
          <w:szCs w:val="22"/>
        </w:rPr>
      </w:pPr>
      <w:r w:rsidDel="00000000" w:rsidR="00000000" w:rsidRPr="00000000">
        <w:rPr>
          <w:rtl w:val="0"/>
        </w:rPr>
        <w:t xml:space="preserve">Test each .model file must have ‘persist_for: 0 minutes’</w:t>
      </w:r>
    </w:p>
    <w:p w:rsidR="00000000" w:rsidDel="00000000" w:rsidP="00000000" w:rsidRDefault="00000000" w:rsidRPr="00000000" w14:paraId="00000028">
      <w:pPr>
        <w:pStyle w:val="Heading2"/>
        <w:rPr/>
      </w:pPr>
      <w:bookmarkStart w:colFirst="0" w:colLast="0" w:name="_fobbyrrluh0n" w:id="11"/>
      <w:bookmarkEnd w:id="11"/>
      <w:r w:rsidDel="00000000" w:rsidR="00000000" w:rsidRPr="00000000">
        <w:rPr>
          <w:rtl w:val="0"/>
        </w:rPr>
        <w:t xml:space="preserve">PSA vs PSC network connectivity type?</w:t>
      </w:r>
    </w:p>
    <w:p w:rsidR="00000000" w:rsidDel="00000000" w:rsidP="00000000" w:rsidRDefault="00000000" w:rsidRPr="00000000" w14:paraId="00000029">
      <w:pPr>
        <w:pageBreakBefore w:val="0"/>
        <w:rPr/>
      </w:pPr>
      <w:r w:rsidDel="00000000" w:rsidR="00000000" w:rsidRPr="00000000">
        <w:rPr>
          <w:rtl w:val="0"/>
        </w:rPr>
        <w:t xml:space="preserve">PSC should be used. PSC will allow you to configure an OData endpoint that will be accessible from out-of-network, from users’ machines, secured with OAuth. PSA would be suitable for Looker connections to GCP internal resources only, but would not allow the external access necessary to the OData server.</w:t>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Style w:val="Heading2"/>
        <w:rPr/>
      </w:pPr>
      <w:bookmarkStart w:colFirst="0" w:colLast="0" w:name="_h8caqumgp3zg" w:id="12"/>
      <w:bookmarkEnd w:id="12"/>
      <w:r w:rsidDel="00000000" w:rsidR="00000000" w:rsidRPr="00000000">
        <w:rPr>
          <w:rtl w:val="0"/>
        </w:rPr>
        <w:t xml:space="preserve">Dev/CI/CD plan A</w:t>
      </w:r>
    </w:p>
    <w:p w:rsidR="00000000" w:rsidDel="00000000" w:rsidP="00000000" w:rsidRDefault="00000000" w:rsidRPr="00000000" w14:paraId="0000002C">
      <w:pPr>
        <w:rPr/>
      </w:pPr>
      <w:r w:rsidDel="00000000" w:rsidR="00000000" w:rsidRPr="00000000">
        <w:rPr>
          <w:rtl w:val="0"/>
        </w:rPr>
        <w:t xml:space="preserve">In this scenario, there are multiple Looker servers (Dev, Stg, Prod).</w:t>
      </w:r>
    </w:p>
    <w:p w:rsidR="00000000" w:rsidDel="00000000" w:rsidP="00000000" w:rsidRDefault="00000000" w:rsidRPr="00000000" w14:paraId="0000002D">
      <w:pPr>
        <w:pStyle w:val="Heading3"/>
        <w:rPr/>
      </w:pPr>
      <w:bookmarkStart w:colFirst="0" w:colLast="0" w:name="_dfgt0w1oaq3" w:id="13"/>
      <w:bookmarkEnd w:id="13"/>
      <w:r w:rsidDel="00000000" w:rsidR="00000000" w:rsidRPr="00000000">
        <w:rPr>
          <w:rtl w:val="0"/>
        </w:rPr>
        <w:t xml:space="preserve">Development</w:t>
      </w:r>
    </w:p>
    <w:p w:rsidR="00000000" w:rsidDel="00000000" w:rsidP="00000000" w:rsidRDefault="00000000" w:rsidRPr="00000000" w14:paraId="0000002E">
      <w:pPr>
        <w:rPr/>
      </w:pPr>
      <w:r w:rsidDel="00000000" w:rsidR="00000000" w:rsidRPr="00000000">
        <w:rPr>
          <w:rtl w:val="0"/>
        </w:rPr>
        <w:t xml:space="preserve">All content is developed and modified in the Dev server. One model per project. Connections may be freely changed between different schema/datasets - this will not affect production or testing. All user-created dashboards are copied to LookML dashboards. </w:t>
      </w:r>
    </w:p>
    <w:p w:rsidR="00000000" w:rsidDel="00000000" w:rsidP="00000000" w:rsidRDefault="00000000" w:rsidRPr="00000000" w14:paraId="0000002F">
      <w:pPr>
        <w:pStyle w:val="Heading3"/>
        <w:rPr/>
      </w:pPr>
      <w:bookmarkStart w:colFirst="0" w:colLast="0" w:name="_caxtrdd2ud8t" w:id="14"/>
      <w:bookmarkEnd w:id="14"/>
      <w:r w:rsidDel="00000000" w:rsidR="00000000" w:rsidRPr="00000000">
        <w:rPr>
          <w:rtl w:val="0"/>
        </w:rPr>
        <w:t xml:space="preserve">Promotion to Stg</w:t>
      </w:r>
    </w:p>
    <w:p w:rsidR="00000000" w:rsidDel="00000000" w:rsidP="00000000" w:rsidRDefault="00000000" w:rsidRPr="00000000" w14:paraId="00000030">
      <w:pPr>
        <w:rPr/>
      </w:pPr>
      <w:r w:rsidDel="00000000" w:rsidR="00000000" w:rsidRPr="00000000">
        <w:rPr>
          <w:rtl w:val="0"/>
        </w:rPr>
        <w:t xml:space="preserve">Content is promoted by using Advanced Deploy Mode on the Stg and Prod server project configurations. This means that the Stg server lookML will not update unless the particular project’s deploy webhook is called. Based on CI/CD rules, the deploy webhook may be called after each pull request is merged, or direct updates are made to the main branch.</w:t>
      </w:r>
    </w:p>
    <w:p w:rsidR="00000000" w:rsidDel="00000000" w:rsidP="00000000" w:rsidRDefault="00000000" w:rsidRPr="00000000" w14:paraId="00000031">
      <w:pPr>
        <w:pStyle w:val="Heading3"/>
        <w:rPr/>
      </w:pPr>
      <w:bookmarkStart w:colFirst="0" w:colLast="0" w:name="_dag5hxt5k7f7" w:id="15"/>
      <w:bookmarkEnd w:id="15"/>
      <w:r w:rsidDel="00000000" w:rsidR="00000000" w:rsidRPr="00000000">
        <w:rPr>
          <w:rtl w:val="0"/>
        </w:rPr>
        <w:t xml:space="preserve">Testing</w:t>
      </w:r>
    </w:p>
    <w:p w:rsidR="00000000" w:rsidDel="00000000" w:rsidP="00000000" w:rsidRDefault="00000000" w:rsidRPr="00000000" w14:paraId="00000032">
      <w:pPr>
        <w:rPr/>
      </w:pPr>
      <w:r w:rsidDel="00000000" w:rsidR="00000000" w:rsidRPr="00000000">
        <w:rPr>
          <w:rtl w:val="0"/>
        </w:rPr>
        <w:t xml:space="preserve">Testing is done on the Stg server. Only testers will need access to the server directly. Only one change set per project can be tested at a time - but different tests can be done simultaneously on different projects.</w:t>
      </w:r>
    </w:p>
    <w:p w:rsidR="00000000" w:rsidDel="00000000" w:rsidP="00000000" w:rsidRDefault="00000000" w:rsidRPr="00000000" w14:paraId="00000033">
      <w:pPr>
        <w:pStyle w:val="Heading3"/>
        <w:rPr/>
      </w:pPr>
      <w:bookmarkStart w:colFirst="0" w:colLast="0" w:name="_5wil14puerak" w:id="16"/>
      <w:bookmarkEnd w:id="16"/>
      <w:r w:rsidDel="00000000" w:rsidR="00000000" w:rsidRPr="00000000">
        <w:rPr>
          <w:rtl w:val="0"/>
        </w:rPr>
        <w:t xml:space="preserve">CI/CD Rules</w:t>
      </w:r>
    </w:p>
    <w:p w:rsidR="00000000" w:rsidDel="00000000" w:rsidP="00000000" w:rsidRDefault="00000000" w:rsidRPr="00000000" w14:paraId="00000034">
      <w:pPr>
        <w:rPr/>
      </w:pPr>
      <w:r w:rsidDel="00000000" w:rsidR="00000000" w:rsidRPr="00000000">
        <w:rPr>
          <w:rtl w:val="0"/>
        </w:rPr>
        <w:t xml:space="preserve">Because there is only one connection in each project, the connection names should not change. We can validate that these names do not change. </w:t>
      </w:r>
    </w:p>
    <w:p w:rsidR="00000000" w:rsidDel="00000000" w:rsidP="00000000" w:rsidRDefault="00000000" w:rsidRPr="00000000" w14:paraId="00000035">
      <w:pPr>
        <w:pStyle w:val="Heading3"/>
        <w:rPr/>
      </w:pPr>
      <w:bookmarkStart w:colFirst="0" w:colLast="0" w:name="_xxkss56dsonn" w:id="17"/>
      <w:bookmarkEnd w:id="17"/>
      <w:r w:rsidDel="00000000" w:rsidR="00000000" w:rsidRPr="00000000">
        <w:rPr>
          <w:rtl w:val="0"/>
        </w:rPr>
        <w:t xml:space="preserve">Promotion to Prd</w:t>
      </w:r>
    </w:p>
    <w:p w:rsidR="00000000" w:rsidDel="00000000" w:rsidP="00000000" w:rsidRDefault="00000000" w:rsidRPr="00000000" w14:paraId="00000036">
      <w:pPr>
        <w:rPr/>
      </w:pPr>
      <w:r w:rsidDel="00000000" w:rsidR="00000000" w:rsidRPr="00000000">
        <w:rPr>
          <w:rtl w:val="0"/>
        </w:rPr>
        <w:t xml:space="preserve">This can be manually triggered once testing is complete. The production deployment webhook will deploy code changes to production automatically, based on some other system. Alternatively, the Looker Prod UI could be used to deploy a new tag or SHA.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fch8eknozbhy" w:id="18"/>
      <w:bookmarkEnd w:id="18"/>
      <w:r w:rsidDel="00000000" w:rsidR="00000000" w:rsidRPr="00000000">
        <w:rPr>
          <w:rtl w:val="0"/>
        </w:rPr>
        <w:t xml:space="preserve">Dev/CI/CD plan B</w:t>
      </w:r>
    </w:p>
    <w:p w:rsidR="00000000" w:rsidDel="00000000" w:rsidP="00000000" w:rsidRDefault="00000000" w:rsidRPr="00000000" w14:paraId="00000039">
      <w:pPr>
        <w:rPr/>
      </w:pPr>
      <w:r w:rsidDel="00000000" w:rsidR="00000000" w:rsidRPr="00000000">
        <w:rPr>
          <w:rtl w:val="0"/>
        </w:rPr>
        <w:t xml:space="preserve">In this scenario, there is one Looker server. Connections come in triplets like gdw_dev, gdw_stg, gdw_prod.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64867qxcrj2q" w:id="19"/>
      <w:bookmarkEnd w:id="19"/>
      <w:r w:rsidDel="00000000" w:rsidR="00000000" w:rsidRPr="00000000">
        <w:rPr>
          <w:rtl w:val="0"/>
        </w:rPr>
        <w:t xml:space="preserve">Development</w:t>
      </w:r>
    </w:p>
    <w:p w:rsidR="00000000" w:rsidDel="00000000" w:rsidP="00000000" w:rsidRDefault="00000000" w:rsidRPr="00000000" w14:paraId="0000003C">
      <w:pPr>
        <w:rPr/>
      </w:pPr>
      <w:r w:rsidDel="00000000" w:rsidR="00000000" w:rsidRPr="00000000">
        <w:rPr>
          <w:rtl w:val="0"/>
        </w:rPr>
        <w:t xml:space="preserve">All content is developed and modified using user-defined dashboards.  One model is made for each connection in a project.  Explore lookML files are used to import the same content to each model. Three models per project. Models come in triplets like finances_dev, finances_stg, finances_prd. Dashboards are copied to temporary, testing LookML dashboards by developers. Testing dashboards are stored in a folder without strict CI/CD protections. Production dashboards are stored in a folder with strict CI/CD protections. </w:t>
      </w:r>
    </w:p>
    <w:p w:rsidR="00000000" w:rsidDel="00000000" w:rsidP="00000000" w:rsidRDefault="00000000" w:rsidRPr="00000000" w14:paraId="0000003D">
      <w:pPr>
        <w:pStyle w:val="Heading3"/>
        <w:rPr/>
      </w:pPr>
      <w:bookmarkStart w:colFirst="0" w:colLast="0" w:name="_n6ttnq8d8n09" w:id="20"/>
      <w:bookmarkEnd w:id="20"/>
      <w:r w:rsidDel="00000000" w:rsidR="00000000" w:rsidRPr="00000000">
        <w:rPr>
          <w:rtl w:val="0"/>
        </w:rPr>
        <w:t xml:space="preserve">Promotion to Test</w:t>
      </w:r>
    </w:p>
    <w:p w:rsidR="00000000" w:rsidDel="00000000" w:rsidP="00000000" w:rsidRDefault="00000000" w:rsidRPr="00000000" w14:paraId="0000003E">
      <w:pPr>
        <w:rPr/>
      </w:pPr>
      <w:r w:rsidDel="00000000" w:rsidR="00000000" w:rsidRPr="00000000">
        <w:rPr>
          <w:rtl w:val="0"/>
        </w:rPr>
        <w:t xml:space="preserve">A developer will commit a ‘testing’ LookML dashboard. This may point to a dev or prod model, as appropriate for the current testing plan. This commit will be merged to production after a pull request. Then, the testing dashboard will be available for testers.</w:t>
      </w:r>
    </w:p>
    <w:p w:rsidR="00000000" w:rsidDel="00000000" w:rsidP="00000000" w:rsidRDefault="00000000" w:rsidRPr="00000000" w14:paraId="0000003F">
      <w:pPr>
        <w:pStyle w:val="Heading3"/>
        <w:rPr/>
      </w:pPr>
      <w:bookmarkStart w:colFirst="0" w:colLast="0" w:name="_tai5w5uycizo" w:id="21"/>
      <w:bookmarkEnd w:id="21"/>
      <w:r w:rsidDel="00000000" w:rsidR="00000000" w:rsidRPr="00000000">
        <w:rPr>
          <w:rtl w:val="0"/>
        </w:rPr>
        <w:t xml:space="preserve">Testing</w:t>
      </w:r>
    </w:p>
    <w:p w:rsidR="00000000" w:rsidDel="00000000" w:rsidP="00000000" w:rsidRDefault="00000000" w:rsidRPr="00000000" w14:paraId="00000040">
      <w:pPr>
        <w:rPr/>
      </w:pPr>
      <w:r w:rsidDel="00000000" w:rsidR="00000000" w:rsidRPr="00000000">
        <w:rPr>
          <w:rtl w:val="0"/>
        </w:rPr>
        <w:t xml:space="preserve">The developer will share the testing dashboard with the testers. Testers may be limited to only using the stg and prd models, so they will not see the ‘dev’ dashboards.</w:t>
      </w:r>
    </w:p>
    <w:p w:rsidR="00000000" w:rsidDel="00000000" w:rsidP="00000000" w:rsidRDefault="00000000" w:rsidRPr="00000000" w14:paraId="00000041">
      <w:pPr>
        <w:pStyle w:val="Heading3"/>
        <w:rPr/>
      </w:pPr>
      <w:bookmarkStart w:colFirst="0" w:colLast="0" w:name="_1as6xkv90pb9" w:id="22"/>
      <w:bookmarkEnd w:id="22"/>
      <w:r w:rsidDel="00000000" w:rsidR="00000000" w:rsidRPr="00000000">
        <w:rPr>
          <w:rtl w:val="0"/>
        </w:rPr>
        <w:t xml:space="preserve">CI/CD Rules</w:t>
      </w:r>
    </w:p>
    <w:p w:rsidR="00000000" w:rsidDel="00000000" w:rsidP="00000000" w:rsidRDefault="00000000" w:rsidRPr="00000000" w14:paraId="00000042">
      <w:pPr>
        <w:rPr/>
      </w:pPr>
      <w:r w:rsidDel="00000000" w:rsidR="00000000" w:rsidRPr="00000000">
        <w:rPr>
          <w:rtl w:val="0"/>
        </w:rPr>
        <w:t xml:space="preserve">The connection names should match the model files. So a finances_stg model should have a connection ending in  _stg connection, never a connection ending in _prd. We can validate that these names are appropriate. </w:t>
      </w:r>
    </w:p>
    <w:p w:rsidR="00000000" w:rsidDel="00000000" w:rsidP="00000000" w:rsidRDefault="00000000" w:rsidRPr="00000000" w14:paraId="00000043">
      <w:pPr>
        <w:pStyle w:val="Heading3"/>
        <w:rPr/>
      </w:pPr>
      <w:bookmarkStart w:colFirst="0" w:colLast="0" w:name="_fer8nu3x0upu" w:id="23"/>
      <w:bookmarkEnd w:id="23"/>
      <w:r w:rsidDel="00000000" w:rsidR="00000000" w:rsidRPr="00000000">
        <w:rPr>
          <w:rtl w:val="0"/>
        </w:rPr>
        <w:t xml:space="preserve">Promotion to Prd</w:t>
      </w:r>
    </w:p>
    <w:p w:rsidR="00000000" w:rsidDel="00000000" w:rsidP="00000000" w:rsidRDefault="00000000" w:rsidRPr="00000000" w14:paraId="00000044">
      <w:pPr>
        <w:rPr/>
      </w:pPr>
      <w:r w:rsidDel="00000000" w:rsidR="00000000" w:rsidRPr="00000000">
        <w:rPr>
          <w:rtl w:val="0"/>
        </w:rPr>
        <w:t xml:space="preserve">The lookML Dashboards should be stored in 2 or 3 folders, per environment. Production folder dashboards should not be manually updated. Instead, a script may copy these dashboards from the Test or Stage folder into the Production folder, changing only the ‘model:’ lines to a _prd model. </w:t>
      </w:r>
    </w:p>
    <w:p w:rsidR="00000000" w:rsidDel="00000000" w:rsidP="00000000" w:rsidRDefault="00000000" w:rsidRPr="00000000" w14:paraId="00000045">
      <w:pPr>
        <w:rPr/>
      </w:pPr>
      <w:r w:rsidDel="00000000" w:rsidR="00000000" w:rsidRPr="00000000">
        <w:rPr>
          <w:rtl w:val="0"/>
        </w:rPr>
      </w:r>
    </w:p>
    <w:sectPr>
      <w:headerReference r:id="rId8" w:type="default"/>
      <w:foot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color w:val="999999"/>
        <w:sz w:val="16"/>
        <w:szCs w:val="16"/>
        <w:rtl w:val="0"/>
      </w:rPr>
      <w:t xml:space="preserve">Bytecode IO, Inc</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rPr>
        <w:color w:val="999999"/>
        <w:sz w:val="16"/>
        <w:szCs w:val="16"/>
      </w:rPr>
    </w:pPr>
    <w:r w:rsidDel="00000000" w:rsidR="00000000" w:rsidRPr="00000000">
      <w:rPr>
        <w:color w:val="999999"/>
        <w:sz w:val="16"/>
        <w:szCs w:val="16"/>
        <w:rtl w:val="0"/>
      </w:rPr>
      <w:t xml:space="preserve">www.bytecode.io</w:t>
      <w:tab/>
      <w:tab/>
      <w:tab/>
      <w:tab/>
      <w:tab/>
      <w:tab/>
      <w:tab/>
      <w:tab/>
      <w:tab/>
      <w:tab/>
      <w:tab/>
    </w:r>
    <w:r w:rsidDel="00000000" w:rsidR="00000000" w:rsidRPr="00000000">
      <w:rPr>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color w:val="b7b7b7"/>
        <w:sz w:val="18"/>
        <w:szCs w:val="18"/>
      </w:rPr>
      <w:drawing>
        <wp:inline distB="19050" distT="19050" distL="19050" distR="19050">
          <wp:extent cx="1181800" cy="681038"/>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81800" cy="681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217323" cy="59531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217323" cy="595313"/>
                  </a:xfrm>
                  <a:prstGeom prst="rect"/>
                  <a:ln/>
                </pic:spPr>
              </pic:pic>
            </a:graphicData>
          </a:graphic>
        </wp:anchor>
      </w:drawing>
    </w:r>
  </w:p>
  <w:p w:rsidR="00000000" w:rsidDel="00000000" w:rsidP="00000000" w:rsidRDefault="00000000" w:rsidRPr="00000000" w14:paraId="0000004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left"/>
      <w:rPr>
        <w:color w:val="b7b7b7"/>
        <w:sz w:val="18"/>
        <w:szCs w:val="18"/>
      </w:rPr>
    </w:pPr>
    <w:r w:rsidDel="00000000" w:rsidR="00000000" w:rsidRPr="00000000">
      <w:rPr>
        <w:rtl w:val="0"/>
      </w:rPr>
    </w:r>
  </w:p>
  <w:p w:rsidR="00000000" w:rsidDel="00000000" w:rsidP="00000000" w:rsidRDefault="00000000" w:rsidRPr="00000000" w14:paraId="0000004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8860"/>
      </w:tabs>
      <w:spacing w:line="240" w:lineRule="auto"/>
      <w:jc w:val="right"/>
      <w:rPr>
        <w:color w:val="b7b7b7"/>
        <w:sz w:val="18"/>
        <w:szCs w:val="18"/>
      </w:rPr>
    </w:pPr>
    <w:r w:rsidDel="00000000" w:rsidR="00000000" w:rsidRPr="00000000">
      <w:rPr>
        <w:color w:val="b7b7b7"/>
        <w:sz w:val="18"/>
        <w:szCs w:val="18"/>
        <w:rtl w:val="0"/>
      </w:rPr>
      <w:t xml:space="preserve">_____________________________________________________________________________________________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cloud.google.com/looker/docs/caching-and-datagroups" TargetMode="External"/><Relationship Id="rId7" Type="http://schemas.openxmlformats.org/officeDocument/2006/relationships/hyperlink" Target="https://cloud.google.com/looker/docs/git-options#integrating_pull_requests_for_your_project"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