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园区安防系统</w:t>
      </w:r>
    </w:p>
    <w:p>
      <w:pPr>
        <w:pStyle w:val="Heading1"/>
      </w:pPr>
      <w:r>
        <w:t>第1章 总体架构设计</w:t>
      </w:r>
    </w:p>
    <w:p>
      <w:r>
        <w:t>本项目园区安防采用云原生微服务架构，整体分为基础设施层、数据资源层、平台服务层与应用呈现层四层。基础设施层基于国产化虚拟化平台构建资源池，计算节点按 1:4 超配比规划，支持横向弹性扩容。平台服务层以容器化方式部署综合管理平台各微服务，通过服务网格实现服务注册、发现与熔断治理，平台整体可用性设计目标不低于 99.9%。</w:t>
      </w:r>
    </w:p>
    <w:p>
      <w:pPr>
        <w:pStyle w:val="Heading1"/>
      </w:pPr>
      <w:r>
        <w:t>第2章 网络与安防设计</w:t>
      </w:r>
    </w:p>
    <w:p>
      <w:r>
        <w:t>园区网络采用核心-汇聚-接入三层组网，核心交换机双机热备，万兆骨干、千兆到桌面。视频监控系统采用视频智能分析系统统一接入，支持不少于 2000 路高清视频并发接入，关键出入口部署人脸识别闸机与车牌识别一体机，事件告警联动时间不超过 3 秒。</w:t>
      </w:r>
    </w:p>
    <w:p>
      <w:r>
        <w:t>本项目部署高清摄像机 1500 路，视频智能分析系统支持人员聚集、越界入侵、烟火识别等 15 类算法，告警准确率不低于 92%，并与消防、门禁系统实现联动。</w:t>
      </w:r>
    </w:p>
    <w:p>
      <w:pPr>
        <w:pStyle w:val="Heading1"/>
      </w:pPr>
      <w:r>
        <w:t>第3章 物联网感知体系</w:t>
      </w:r>
    </w:p>
    <w:p>
      <w:r>
        <w:t>构建统一物联网接入平台，支持 MQTT、CoAP、Modbus 等多协议接入，单节点支持 10 万级设备并发连接。部署环境监测、智能照明、能耗采集、井盖水位等各类感知终端，数据经边缘网关汇聚后统一上报数据中台。</w:t>
      </w:r>
    </w:p>
    <w:p>
      <w:pPr>
        <w:pStyle w:val="Heading1"/>
      </w:pPr>
      <w:r>
        <w:t>第4章 数据中台建设</w:t>
      </w:r>
    </w:p>
    <w:p>
      <w:r>
        <w:t>数据中台包含数据汇聚、数据治理、数据资产与数据服务四个能力域。通过 ETL 与实时流两条链路汇聚业务数据，建立统一的数据标准与主数据管理体系，对外以 API 网关方式提供数据服务，日均支撑数据服务调用不低于 500 万次。</w:t>
      </w:r>
    </w:p>
    <w:p>
      <w:pPr>
        <w:pStyle w:val="Heading1"/>
      </w:pPr>
      <w:r>
        <w:t>第5章 应用系统建设</w:t>
      </w:r>
    </w:p>
    <w:p>
      <w:r>
        <w:t>面向管理方、企业与公众三类角色建设综合管理平台门户、移动端 App 与运营驾驶舱。运营驾驶舱基于数据中台提供园区运行一屏总览，涵盖安防态势、能耗分析、设备健康度与企业服务热力图。</w:t>
      </w:r>
    </w:p>
    <w:p>
      <w:pPr>
        <w:pStyle w:val="Heading1"/>
      </w:pPr>
      <w:r>
        <w:t>第6章 安全保障体系</w:t>
      </w:r>
    </w:p>
    <w:p>
      <w:r>
        <w:t>按照等级保护三级要求设计安全体系，覆盖物理安全、网络安全、主机安全、应用安全与数据安全五个层面。核心数据库启用透明加密与脱敏，重要操作全程审计，安全事件统一接入态势感知平台。</w:t>
      </w:r>
    </w:p>
    <w:p>
      <w:pPr>
        <w:pStyle w:val="Heading1"/>
      </w:pPr>
      <w:r>
        <w:t>第7章 项目实施方案</w:t>
      </w:r>
    </w:p>
    <w:p>
      <w:r>
        <w:t>项目实施划分为需求调研、深化设计、开发实施、联调测试、试运行与验收六个阶段，采用双周迭代交付，关键里程碑设置阶段评审。现场实施团队不少于 12 人，其中高级工程师占比 40% 以上。</w:t>
      </w:r>
    </w:p>
    <w:p>
      <w:pPr>
        <w:pStyle w:val="Heading1"/>
      </w:pPr>
      <w:r>
        <w:t>第8章 运维保障方案</w:t>
      </w:r>
    </w:p>
    <w:p>
      <w:r>
        <w:t>提供 7×24 小时运维服务，建立三级响应机制：一般故障 4 小时内解决，重大故障 30 分钟内到场。部署统一运维监控平台，对主机、网络、应用与数据库全栈监控，月度出具运行分析报告。</w:t>
      </w:r>
    </w:p>
    <w:p>
      <w:pPr>
        <w:pStyle w:val="Heading1"/>
      </w:pPr>
      <w:r>
        <w:t>第9章 培训与交付</w:t>
      </w:r>
    </w:p>
    <w:p>
      <w:r>
        <w:t>分管理层、业务操作层与运维技术层三类对象开展培训，累计不少于 40 课时，交付物包括系统设计文档、操作手册、运维手册与源代码，并提供为期一年的免费质保服务。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