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某开发区智慧园区综合管理平台建设项目招标文件</w:t>
      </w:r>
    </w:p>
    <w:p>
      <w:pPr>
        <w:pStyle w:val="Heading1"/>
      </w:pPr>
      <w:r>
        <w:t>第一章 项目概况</w:t>
      </w:r>
    </w:p>
    <w:p>
      <w:r>
        <w:t>某开发区管理委员会拟建设智慧园区综合管理平台，实现园区安防、物联、数据与应用服务的统一管理。项目预算金额为人民币 1200 万元，建设工期为合同签订后 180 日历天，其中平台上线试运行须在合同签订后 150 日历天内完成，试运行期 30 天。关键里程碑：第 30 天完成深化设计评审，第 90 天完成平台核心功能开发，第 150 天上线试运行。</w:t>
      </w:r>
    </w:p>
    <w:p>
      <w:pPr>
        <w:pStyle w:val="Heading1"/>
      </w:pPr>
      <w:r>
        <w:t>第二章 技术需求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需求项</w:t>
            </w:r>
          </w:p>
        </w:tc>
        <w:tc>
          <w:tcPr>
            <w:tcW w:type="dxa" w:w="4320"/>
          </w:tcPr>
          <w:p>
            <w:r>
              <w:t>技术要求</w:t>
            </w:r>
          </w:p>
        </w:tc>
      </w:tr>
      <w:tr>
        <w:tc>
          <w:tcPr>
            <w:tcW w:type="dxa" w:w="4320"/>
          </w:tcPr>
          <w:p>
            <w:r>
              <w:t>总体架构</w:t>
            </w:r>
          </w:p>
        </w:tc>
        <w:tc>
          <w:tcPr>
            <w:tcW w:type="dxa" w:w="4320"/>
          </w:tcPr>
          <w:p>
            <w:r>
              <w:t>平台须采用云原生微服务架构，支持容器化部署与横向弹性扩容</w:t>
            </w:r>
          </w:p>
        </w:tc>
      </w:tr>
      <w:tr>
        <w:tc>
          <w:tcPr>
            <w:tcW w:type="dxa" w:w="4320"/>
          </w:tcPr>
          <w:p>
            <w:r>
              <w:t>平台可用性</w:t>
            </w:r>
          </w:p>
        </w:tc>
        <w:tc>
          <w:tcPr>
            <w:tcW w:type="dxa" w:w="4320"/>
          </w:tcPr>
          <w:p>
            <w:r>
              <w:t>平台整体可用性不低于 99.9%，核心服务支持双机热备</w:t>
            </w:r>
          </w:p>
        </w:tc>
      </w:tr>
      <w:tr>
        <w:tc>
          <w:tcPr>
            <w:tcW w:type="dxa" w:w="4320"/>
          </w:tcPr>
          <w:p>
            <w:r>
              <w:t>视频接入</w:t>
            </w:r>
          </w:p>
        </w:tc>
        <w:tc>
          <w:tcPr>
            <w:tcW w:type="dxa" w:w="4320"/>
          </w:tcPr>
          <w:p>
            <w:r>
              <w:t>视频监控系统支持不少于 2000 路高清视频并发接入</w:t>
            </w:r>
          </w:p>
        </w:tc>
      </w:tr>
      <w:tr>
        <w:tc>
          <w:tcPr>
            <w:tcW w:type="dxa" w:w="4320"/>
          </w:tcPr>
          <w:p>
            <w:r>
              <w:t>视频智能分析</w:t>
            </w:r>
          </w:p>
        </w:tc>
        <w:tc>
          <w:tcPr>
            <w:tcW w:type="dxa" w:w="4320"/>
          </w:tcPr>
          <w:p>
            <w:r>
              <w:t>支持人员聚集、越界入侵、烟火识别等不少于 12 类智能分析算法，告警准确率不低于 90%</w:t>
            </w:r>
          </w:p>
        </w:tc>
      </w:tr>
      <w:tr>
        <w:tc>
          <w:tcPr>
            <w:tcW w:type="dxa" w:w="4320"/>
          </w:tcPr>
          <w:p>
            <w:r>
              <w:t>告警联动</w:t>
            </w:r>
          </w:p>
        </w:tc>
        <w:tc>
          <w:tcPr>
            <w:tcW w:type="dxa" w:w="4320"/>
          </w:tcPr>
          <w:p>
            <w:r>
              <w:t>安防事件告警联动响应时间不超过 3 秒</w:t>
            </w:r>
          </w:p>
        </w:tc>
      </w:tr>
      <w:tr>
        <w:tc>
          <w:tcPr>
            <w:tcW w:type="dxa" w:w="4320"/>
          </w:tcPr>
          <w:p>
            <w:r>
              <w:t>物联接入</w:t>
            </w:r>
          </w:p>
        </w:tc>
        <w:tc>
          <w:tcPr>
            <w:tcW w:type="dxa" w:w="4320"/>
          </w:tcPr>
          <w:p>
            <w:r>
              <w:t>物联网平台支持 MQTT、CoAP、Modbus 等主流协议，单节点支持 10 万级设备并发连接</w:t>
            </w:r>
          </w:p>
        </w:tc>
      </w:tr>
      <w:tr>
        <w:tc>
          <w:tcPr>
            <w:tcW w:type="dxa" w:w="4320"/>
          </w:tcPr>
          <w:p>
            <w:r>
              <w:t>数据中台</w:t>
            </w:r>
          </w:p>
        </w:tc>
        <w:tc>
          <w:tcPr>
            <w:tcW w:type="dxa" w:w="4320"/>
          </w:tcPr>
          <w:p>
            <w:r>
              <w:t>建设数据汇聚、治理、资产与服务能力，对外提供统一数据服务 API</w:t>
            </w:r>
          </w:p>
        </w:tc>
      </w:tr>
      <w:tr>
        <w:tc>
          <w:tcPr>
            <w:tcW w:type="dxa" w:w="4320"/>
          </w:tcPr>
          <w:p>
            <w:r>
              <w:t>数据服务能力</w:t>
            </w:r>
          </w:p>
        </w:tc>
        <w:tc>
          <w:tcPr>
            <w:tcW w:type="dxa" w:w="4320"/>
          </w:tcPr>
          <w:p>
            <w:r>
              <w:t>数据服务日均调用支撑能力不低于 500 万次</w:t>
            </w:r>
          </w:p>
        </w:tc>
      </w:tr>
      <w:tr>
        <w:tc>
          <w:tcPr>
            <w:tcW w:type="dxa" w:w="4320"/>
          </w:tcPr>
          <w:p>
            <w:r>
              <w:t>一码通行</w:t>
            </w:r>
          </w:p>
        </w:tc>
        <w:tc>
          <w:tcPr>
            <w:tcW w:type="dxa" w:w="4320"/>
          </w:tcPr>
          <w:p>
            <w:r>
              <w:t>实现门禁、停车、访客一码通行，支持与既有门禁系统对接</w:t>
            </w:r>
          </w:p>
        </w:tc>
      </w:tr>
      <w:tr>
        <w:tc>
          <w:tcPr>
            <w:tcW w:type="dxa" w:w="4320"/>
          </w:tcPr>
          <w:p>
            <w:r>
              <w:t>运营驾驶舱</w:t>
            </w:r>
          </w:p>
        </w:tc>
        <w:tc>
          <w:tcPr>
            <w:tcW w:type="dxa" w:w="4320"/>
          </w:tcPr>
          <w:p>
            <w:r>
              <w:t>提供园区运行一屏总览，涵盖安防态势、能耗分析与设备健康度</w:t>
            </w:r>
          </w:p>
        </w:tc>
      </w:tr>
      <w:tr>
        <w:tc>
          <w:tcPr>
            <w:tcW w:type="dxa" w:w="4320"/>
          </w:tcPr>
          <w:p>
            <w:r>
              <w:t>移动端</w:t>
            </w:r>
          </w:p>
        </w:tc>
        <w:tc>
          <w:tcPr>
            <w:tcW w:type="dxa" w:w="4320"/>
          </w:tcPr>
          <w:p>
            <w:r>
              <w:t>提供 iOS/Android 移动端应用，支持消息推送与移动审批</w:t>
            </w:r>
          </w:p>
        </w:tc>
      </w:tr>
      <w:tr>
        <w:tc>
          <w:tcPr>
            <w:tcW w:type="dxa" w:w="4320"/>
          </w:tcPr>
          <w:p>
            <w:r>
              <w:t>等级保护</w:t>
            </w:r>
          </w:p>
        </w:tc>
        <w:tc>
          <w:tcPr>
            <w:tcW w:type="dxa" w:w="4320"/>
          </w:tcPr>
          <w:p>
            <w:r>
              <w:t>系统按等级保护三级标准建设并通过测评</w:t>
            </w:r>
          </w:p>
        </w:tc>
      </w:tr>
      <w:tr>
        <w:tc>
          <w:tcPr>
            <w:tcW w:type="dxa" w:w="4320"/>
          </w:tcPr>
          <w:p>
            <w:r>
              <w:t>数据安全</w:t>
            </w:r>
          </w:p>
        </w:tc>
        <w:tc>
          <w:tcPr>
            <w:tcW w:type="dxa" w:w="4320"/>
          </w:tcPr>
          <w:p>
            <w:r>
              <w:t>核心数据库须启用透明加密，敏感数据展示须脱敏</w:t>
            </w:r>
          </w:p>
        </w:tc>
      </w:tr>
      <w:tr>
        <w:tc>
          <w:tcPr>
            <w:tcW w:type="dxa" w:w="4320"/>
          </w:tcPr>
          <w:p>
            <w:r>
              <w:t>国产化适配</w:t>
            </w:r>
          </w:p>
        </w:tc>
        <w:tc>
          <w:tcPr>
            <w:tcW w:type="dxa" w:w="4320"/>
          </w:tcPr>
          <w:p>
            <w:r>
              <w:t>平台须完成与国产化操作系统、数据库的兼容性适配</w:t>
            </w:r>
          </w:p>
        </w:tc>
      </w:tr>
      <w:tr>
        <w:tc>
          <w:tcPr>
            <w:tcW w:type="dxa" w:w="4320"/>
          </w:tcPr>
          <w:p>
            <w:r>
              <w:t>性能要求</w:t>
            </w:r>
          </w:p>
        </w:tc>
        <w:tc>
          <w:tcPr>
            <w:tcW w:type="dxa" w:w="4320"/>
          </w:tcPr>
          <w:p>
            <w:r>
              <w:t>门户页面平均响应时间不超过 2 秒，并发在线用户不少于 5000 人</w:t>
            </w:r>
          </w:p>
        </w:tc>
      </w:tr>
      <w:tr>
        <w:tc>
          <w:tcPr>
            <w:tcW w:type="dxa" w:w="4320"/>
          </w:tcPr>
          <w:p>
            <w:r>
              <w:t>系统对接</w:t>
            </w:r>
          </w:p>
        </w:tc>
        <w:tc>
          <w:tcPr>
            <w:tcW w:type="dxa" w:w="4320"/>
          </w:tcPr>
          <w:p>
            <w:r>
              <w:t>须与管委会既有 OA 系统、一网通办平台完成数据对接</w:t>
            </w:r>
          </w:p>
        </w:tc>
      </w:tr>
    </w:tbl>
    <w:p>
      <w:pPr>
        <w:pStyle w:val="Heading1"/>
      </w:pPr>
      <w:r>
        <w:t>第三章 投标人资质要求</w:t>
      </w:r>
    </w:p>
    <w:p>
      <w:pPr>
        <w:pStyle w:val="ListBullet"/>
      </w:pPr>
      <w:r>
        <w:t>投标人须具有独立法人资格，注册资本不低于 1000 万元；</w:t>
      </w:r>
    </w:p>
    <w:p>
      <w:pPr>
        <w:pStyle w:val="ListBullet"/>
      </w:pPr>
      <w:r>
        <w:t>投标人须具备软件企业认定证书，并通过 CMMI3 级及以上认证；</w:t>
      </w:r>
    </w:p>
    <w:p>
      <w:pPr>
        <w:pStyle w:val="ListBullet"/>
      </w:pPr>
      <w:r>
        <w:t>投标人近三年须具有不少于 2 个类似智慧园区或智慧城市项目业绩，单项合同金额不低于 500 万元；</w:t>
      </w:r>
    </w:p>
    <w:p>
      <w:pPr>
        <w:pStyle w:val="ListBullet"/>
      </w:pPr>
      <w:r>
        <w:t>拟派项目经理须具备信息系统项目管理师（高级）资格，团队核心成员不少于 8 人。</w:t>
      </w:r>
    </w:p>
    <w:p>
      <w:pPr>
        <w:pStyle w:val="Heading1"/>
      </w:pPr>
      <w:r>
        <w:t>第四章 评标办法</w:t>
      </w:r>
    </w:p>
    <w:p>
      <w:r>
        <w:t>本项目采用综合评分法，总分 100 分，其中技术部分 60 分、商务部分 25 分、价格部分 15 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</w:tr>
      <w:tr>
        <w:tc>
          <w:tcPr>
            <w:tcW w:type="dxa" w:w="2880"/>
          </w:tcPr>
          <w:p>
            <w:r>
              <w:t>总体技术方案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架构先进性、完整性与针对性</w:t>
            </w:r>
          </w:p>
        </w:tc>
      </w:tr>
      <w:tr>
        <w:tc>
          <w:tcPr>
            <w:tcW w:type="dxa" w:w="2880"/>
          </w:tcPr>
          <w:p>
            <w:r>
              <w:t>视频与物联方案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视频智能分析与物联接入方案的成熟度</w:t>
            </w:r>
          </w:p>
        </w:tc>
      </w:tr>
      <w:tr>
        <w:tc>
          <w:tcPr>
            <w:tcW w:type="dxa" w:w="2880"/>
          </w:tcPr>
          <w:p>
            <w:r>
              <w:t>数据中台方案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数据治理与数据服务能力设计</w:t>
            </w:r>
          </w:p>
        </w:tc>
      </w:tr>
      <w:tr>
        <w:tc>
          <w:tcPr>
            <w:tcW w:type="dxa" w:w="2880"/>
          </w:tcPr>
          <w:p>
            <w:r>
              <w:t>安全与国产化方案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等保三级落实与国产化适配方案</w:t>
            </w:r>
          </w:p>
        </w:tc>
      </w:tr>
      <w:tr>
        <w:tc>
          <w:tcPr>
            <w:tcW w:type="dxa" w:w="2880"/>
          </w:tcPr>
          <w:p>
            <w:r>
              <w:t>实施与运维方案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实施组织、进度保障与运维响应</w:t>
            </w:r>
          </w:p>
        </w:tc>
      </w:tr>
      <w:tr>
        <w:tc>
          <w:tcPr>
            <w:tcW w:type="dxa" w:w="2880"/>
          </w:tcPr>
          <w:p>
            <w:r>
              <w:t>演示与答辩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系统演示效果与答辩情况</w:t>
            </w:r>
          </w:p>
        </w:tc>
      </w:tr>
      <w:tr>
        <w:tc>
          <w:tcPr>
            <w:tcW w:type="dxa" w:w="2880"/>
          </w:tcPr>
          <w:p>
            <w:r>
              <w:t>企业业绩与资信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类似业绩、认证与资信</w:t>
            </w:r>
          </w:p>
        </w:tc>
      </w:tr>
      <w:tr>
        <w:tc>
          <w:tcPr>
            <w:tcW w:type="dxa" w:w="2880"/>
          </w:tcPr>
          <w:p>
            <w:r>
              <w:t>本地化服务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本地化服务团队与响应能力</w:t>
            </w:r>
          </w:p>
        </w:tc>
      </w:tr>
      <w:tr>
        <w:tc>
          <w:tcPr>
            <w:tcW w:type="dxa" w:w="2880"/>
          </w:tcPr>
          <w:p>
            <w:r>
              <w:t>投标报价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满足要求的最低价为基准价</w:t>
            </w:r>
          </w:p>
        </w:tc>
      </w:tr>
    </w:tbl>
    <w:p>
      <w:r>
        <w:t>特别说明：投标人应充分考虑与园区既有系统的平滑衔接，优先考虑具备本地化服务团队并能提供 7×24 小时现场响应的投标人；平台须为后续二期扩展预留接口，投标人应在方案中说明与既有视频监控设备品牌的兼容适配经验。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