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sz w:val="36"/>
        </w:rPr>
        <w:t>基于 AI 视觉的落球法液体粘滞系数实验讲义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本讲义用于平台准入学习和真实实验操作。学生应先阅读讲义并完成题目，再进入 AI 实验模块进行标定、背光测量、人工测量和报告生成。</w:t>
      </w:r>
    </w:p>
    <w:p>
      <w:pPr>
        <w:pStyle w:val="Heading1"/>
      </w:pPr>
      <w:r>
        <w:rPr>
          <w:rFonts w:ascii="Calibri" w:hAnsi="Calibri" w:eastAsia="Microsoft YaHei"/>
          <w:b/>
          <w:sz w:val="32"/>
        </w:rPr>
        <w:t>一、实验目标与平台流程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本实验使用落球法测量液体粘滞系数。平台的作用不是替代实验判断，而是帮助学生把小球下落轨迹、终端速度、修正因子和误差来源显示出来。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完整流程为：阅读讲义，完成准入题目；进入 AI 实验模块并填写实验参数；连接实时画面；标注量筒边缘并完成标定；标定后关灯、打开背光光源；释放小球并进行 AI 视觉测量，同时完成必要的人工测量；把人工测量值输入平台；最后生成实验报告并复核结果。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实验前必须明确并记录液体密度、小球半径、小球密度、量筒内径、液体深度、温度等参数。平台中的参考液体只提供参考粘度、液体温度和液体密度，其余几何量仍需由实验者自己测量和填写。</w:t>
      </w:r>
    </w:p>
    <w:p>
      <w:pPr>
        <w:pStyle w:val="Heading1"/>
      </w:pPr>
      <w:r>
        <w:rPr>
          <w:rFonts w:ascii="Calibri" w:hAnsi="Calibri" w:eastAsia="Microsoft YaHei"/>
          <w:b/>
          <w:sz w:val="32"/>
        </w:rPr>
        <w:t>二、落球法的物理依据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半径为 r 的光滑小球在静止液体中下落时，受到重力、浮力和液体粘滞阻力。刚释放时速度较小，阻力较小，小球加速下落；速度增大后阻力增大。当重力等于浮力与阻力之和时，小球加速度趋近于零，进入终端匀速阶段。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在低速、低雷诺数、无明显涡流的条件下，斯托克斯定律给出小球受到的粘滞阻力：F = 6πηrv。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小球达到终端速度 vt 后，可由受力平衡得到理想 Stokes 公式：η₀ = 2r²g(ρ球 − ρ液) / (9vt)。其中 ρ球 为小球密度，ρ液 为液体密度，g 取 9.80665 m/s²。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若还未进入匀速段就取速度，vt 通常偏小，计算得到的 η 会偏大。</w:t>
      </w:r>
    </w:p>
    <w:p>
      <w:pPr>
        <w:pStyle w:val="Heading1"/>
      </w:pPr>
      <w:r>
        <w:rPr>
          <w:rFonts w:ascii="Calibri" w:hAnsi="Calibri" w:eastAsia="Microsoft YaHei"/>
          <w:b/>
          <w:sz w:val="32"/>
        </w:rPr>
        <w:t>三、适用条件与修正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小球应刚性、光滑、近似球形，释放时尽量无初速度、无旋转、无明显偏斜。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液体应近似为牛顿流体，且实验温度稳定；粘度对温度敏感，必须记录温度。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小球运动处于低雷诺数状态，教学实验中通常要求 Re &lt; 1，更严格时可参考 Re &lt; 0.1。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小球应在量筒中心轴线附近下落，避免贴壁；球筒径比 2r/D 越小，壁面影响越弱。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取值区间必须位于终端匀速段，不能把液面附近加速段或筒底附近受扰动区间用于主计算。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真实量筒不是无限宽广液体，筒壁和液柱深度会改变小球周围液体流动。平台保留壁效应和雷诺数修正，并同时显示理想结果与修正结果，便于比较。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修正关系包括：Re = ρ液·vt·(2r)/η，K壁 = (1 + 2.4r/R)(1 + 3.3r/H)，KRe = 1 + 3Re/16 − 19Re²/1080。式中 R 为量筒内半径，H 为待测液体深度。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修正项不能消除所有误差，它只是把已知系统偏差纳入模型；若 Re、壁效应、释放偏斜或追踪置信度明显不合格，应优先重测。</w:t>
      </w:r>
    </w:p>
    <w:p>
      <w:pPr>
        <w:pStyle w:val="Heading1"/>
      </w:pPr>
      <w:r>
        <w:rPr>
          <w:rFonts w:ascii="Calibri" w:hAnsi="Calibri" w:eastAsia="Microsoft YaHei"/>
          <w:b/>
          <w:sz w:val="32"/>
        </w:rPr>
        <w:t>四、标定与视觉测量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AI 测量依赖摄像头画面中的像素坐标，因此必须先完成标定。平台要求先标注量筒左右边缘，系统生成量筒中心虚线；开始标定后，应沿这条中心线从上到下点击标定棒刻度点。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标定棒的半径、长度和刻度间距由实验者手动输入，平台根据这些数据自动显示需要点击的点数。若点错，可点击该点删除后重新标定。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标定完成后，不能移动相机、量筒和释放装置；否则像素坐标与真实坐标的对应关系会失效。标定棒应取出后再开始落球测量，避免遮挡小球。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本实验推荐背光成像：标定完成后关闭环境灯，打开背光光源，使小球在画面中形成稳定、清晰的暗色轮廓。背光应均匀，摄像头曝光不宜过高；过曝会让小球边缘发白，阴影、气泡和划痕更容易被误识别。</w:t>
      </w:r>
    </w:p>
    <w:p>
      <w:pPr>
        <w:pStyle w:val="Heading1"/>
      </w:pPr>
      <w:r>
        <w:rPr>
          <w:rFonts w:ascii="Calibri" w:hAnsi="Calibri" w:eastAsia="Microsoft YaHei"/>
          <w:b/>
          <w:sz w:val="32"/>
        </w:rPr>
        <w:t>五、AI 测量与人工测量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AI 测量时，平台逐帧识别小球中心，生成 s-t 图和 v-t 图，并从速度较稳定、异常点较少的区间拟合终端速度 vt。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结果区会显示终端速度、理想粘滞系数、修正粘滞系数、Re、壁效应修正、追踪置信度和匀速段长度。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人工测量不是可有可无的对照。实验者应根据标定长度或量筒刻度，记录小球通过选定区间的距离和时间，估算人工终端速度与人工粘滞系数，并把两个值输入平台。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平台会根据 AI 结果与人工结果的差异生成评分和报告，帮助判断误差主要来自释放、标定、计时、选段还是视觉追踪。</w:t>
      </w:r>
    </w:p>
    <w:p>
      <w:pPr>
        <w:pStyle w:val="Heading1"/>
      </w:pPr>
      <w:r>
        <w:rPr>
          <w:rFonts w:ascii="Calibri" w:hAnsi="Calibri" w:eastAsia="Microsoft YaHei"/>
          <w:b/>
          <w:sz w:val="32"/>
        </w:rPr>
        <w:t>六、推荐操作步骤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1. 阅读讲义并完成准入题目，通过后进入实验大厅。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2. 在 AI 实验模块填写实验参数：液体密度、小球半径、量筒内径、液体深度、小球密度和温度等。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3. 连接实时画面，固定手机或摄像头，使量筒竖直、中心线清楚，小球下落区域位于画面中央。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4. 标注量筒左右边缘，确认中心虚线；把标定棒放在量筒中心轴线，输入标定棒半径、长度和刻度间距。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5. 点击开始标定，在中心虚线上按真实刻度顺序点击标定点；若点错，可点击该点删除后重新标定。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6. 标定完成后取出标定棒，关闭环境灯，打开背光光源，调整曝光使小球轮廓清晰且不过曝。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7. 点击开始实时追踪，静止释放小球；若小球偏离中心线、贴壁、气泡被误识别或轨迹断裂，应停止并重测。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8. 完成 AI 追踪后，同时完成或录入人工测量值：人工终端速度和人工粘滞系数。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9. 查看平台生成的曲线、修正结果、诊断建议和网页报告，必要时载入历史记录进行复盘比较。</w:t>
      </w:r>
    </w:p>
    <w:p>
      <w:pPr>
        <w:pStyle w:val="Heading1"/>
      </w:pPr>
      <w:r>
        <w:rPr>
          <w:rFonts w:ascii="Calibri" w:hAnsi="Calibri" w:eastAsia="Microsoft YaHei"/>
          <w:b/>
          <w:sz w:val="32"/>
        </w:rPr>
        <w:t>七、结果复核与误差判断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先看 s-t 图是否整体单调、平滑，v-t 图是否出现持续稳定的终端速度平台。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检查 Re 是否满足低雷诺数要求，若 Re 接近或超过 1，应考虑换更小小球、更高粘度液体或重新设计实验条件。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检查 2r/D 和 K壁。小球越大、量筒越窄，壁效应越明显，修正结果与理想结果差异也可能变大。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检查追踪置信度和匀速段长度。若误识别气泡、划痕或阴影，应重新框选检测区域、调整背光和曝光，必要时重测。</w:t>
      </w:r>
    </w:p>
    <w:p>
      <w:pPr>
        <w:spacing w:line="300" w:lineRule="auto" w:after="100"/>
      </w:pPr>
      <w:r>
        <w:rPr>
          <w:rFonts w:ascii="Calibri" w:hAnsi="Calibri" w:eastAsia="Microsoft YaHei"/>
          <w:b w:val="0"/>
          <w:sz w:val="22"/>
        </w:rPr>
        <w:t>比较人工测量值与 AI 测量值。若差异较大，应从人工计时、标定点、释放中心性、背光条件和算法追踪质量逐项排查。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