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267CD" w14:textId="77777777" w:rsidR="00841FCE" w:rsidRDefault="00841FCE" w:rsidP="00841FCE"/>
    <w:p w14:paraId="17B4FAD8" w14:textId="77777777" w:rsidR="00841FCE" w:rsidRDefault="00841FCE" w:rsidP="00841FCE"/>
    <w:p w14:paraId="1507DC01" w14:textId="77777777" w:rsidR="00841FCE" w:rsidRDefault="00841FCE" w:rsidP="00841FCE"/>
    <w:p w14:paraId="1C20AAFE" w14:textId="743584EA" w:rsidR="007D0D0E" w:rsidRDefault="00841FCE" w:rsidP="007D0D0E">
      <w:pPr>
        <w:jc w:val="center"/>
        <w:rPr>
          <w:b/>
          <w:sz w:val="48"/>
          <w:szCs w:val="48"/>
        </w:rPr>
      </w:pPr>
      <w:r>
        <w:rPr>
          <w:b/>
          <w:sz w:val="48"/>
          <w:szCs w:val="48"/>
        </w:rPr>
        <w:t>Studienarbeit</w:t>
      </w:r>
    </w:p>
    <w:p w14:paraId="4EB65779" w14:textId="77777777" w:rsidR="00841FCE" w:rsidRDefault="00841FCE" w:rsidP="00841FCE">
      <w:pPr>
        <w:rPr>
          <w:sz w:val="36"/>
          <w:szCs w:val="36"/>
        </w:rPr>
      </w:pPr>
    </w:p>
    <w:p w14:paraId="444689D5" w14:textId="77777777" w:rsidR="00841FCE" w:rsidRDefault="00841FCE" w:rsidP="00841FCE">
      <w:pPr>
        <w:rPr>
          <w:sz w:val="36"/>
          <w:szCs w:val="36"/>
        </w:rPr>
      </w:pPr>
    </w:p>
    <w:p w14:paraId="61229827" w14:textId="77777777" w:rsidR="00841FCE" w:rsidRDefault="00841FCE" w:rsidP="00841FCE">
      <w:pPr>
        <w:rPr>
          <w:sz w:val="36"/>
          <w:szCs w:val="36"/>
        </w:rPr>
      </w:pPr>
    </w:p>
    <w:p w14:paraId="0733FFF7" w14:textId="77777777" w:rsidR="00841FCE" w:rsidRDefault="00841FCE" w:rsidP="00841FCE">
      <w:pPr>
        <w:rPr>
          <w:sz w:val="36"/>
          <w:szCs w:val="36"/>
        </w:rPr>
      </w:pPr>
    </w:p>
    <w:p w14:paraId="63B1865C" w14:textId="77777777" w:rsidR="00063BB3" w:rsidRPr="00063BB3" w:rsidRDefault="00063BB3" w:rsidP="00063BB3">
      <w:pPr>
        <w:jc w:val="center"/>
        <w:rPr>
          <w:b/>
          <w:bCs/>
          <w:sz w:val="28"/>
          <w:szCs w:val="28"/>
        </w:rPr>
      </w:pPr>
      <w:r w:rsidRPr="00063BB3">
        <w:rPr>
          <w:b/>
          <w:bCs/>
          <w:sz w:val="36"/>
          <w:szCs w:val="36"/>
        </w:rPr>
        <w:t xml:space="preserve">Titel: Der Einfluss digitaler Marketinginnovationen auf den Unternehmenserfolg: Eine kritische Analyse der wertorientierten Mediation am Beispiel von Jung und </w:t>
      </w:r>
      <w:proofErr w:type="spellStart"/>
      <w:r w:rsidRPr="00063BB3">
        <w:rPr>
          <w:b/>
          <w:bCs/>
          <w:sz w:val="36"/>
          <w:szCs w:val="36"/>
        </w:rPr>
        <w:t>Shegai</w:t>
      </w:r>
      <w:proofErr w:type="spellEnd"/>
      <w:r w:rsidRPr="00063BB3">
        <w:rPr>
          <w:b/>
          <w:bCs/>
          <w:sz w:val="36"/>
          <w:szCs w:val="36"/>
        </w:rPr>
        <w:t xml:space="preserve"> (2023)</w:t>
      </w:r>
    </w:p>
    <w:p w14:paraId="6C39672F" w14:textId="77777777" w:rsidR="00841FCE" w:rsidRDefault="00841FCE" w:rsidP="00841FCE"/>
    <w:p w14:paraId="71387839" w14:textId="77777777" w:rsidR="00841FCE" w:rsidRDefault="00841FCE" w:rsidP="00841FCE"/>
    <w:p w14:paraId="1E69102E" w14:textId="77777777" w:rsidR="00841FCE" w:rsidRDefault="00841FCE" w:rsidP="00841FCE"/>
    <w:p w14:paraId="3F9E76B9" w14:textId="7C3790F3" w:rsidR="00841FCE" w:rsidRPr="008123D8" w:rsidRDefault="008123D8" w:rsidP="00841FCE">
      <w:pPr>
        <w:jc w:val="center"/>
        <w:rPr>
          <w:color w:val="000000" w:themeColor="text1"/>
          <w:sz w:val="32"/>
          <w:szCs w:val="32"/>
        </w:rPr>
      </w:pPr>
      <w:r w:rsidRPr="008123D8">
        <w:rPr>
          <w:color w:val="000000" w:themeColor="text1"/>
          <w:sz w:val="32"/>
          <w:szCs w:val="32"/>
        </w:rPr>
        <w:t>Michael Looks</w:t>
      </w:r>
    </w:p>
    <w:p w14:paraId="2461988A" w14:textId="77777777" w:rsidR="00F1289E" w:rsidRPr="00D71C80" w:rsidRDefault="00F1289E" w:rsidP="00841FCE">
      <w:pPr>
        <w:jc w:val="center"/>
        <w:rPr>
          <w:color w:val="FF0000"/>
          <w:sz w:val="32"/>
          <w:szCs w:val="32"/>
        </w:rPr>
      </w:pPr>
    </w:p>
    <w:p w14:paraId="3D3D7205" w14:textId="77777777" w:rsidR="00841FCE" w:rsidRDefault="00841FCE" w:rsidP="00841FCE"/>
    <w:p w14:paraId="794C0959" w14:textId="77777777" w:rsidR="00841FCE" w:rsidRDefault="00841FCE" w:rsidP="00841FCE"/>
    <w:p w14:paraId="272D16C6" w14:textId="5DC9EBC8" w:rsidR="00CC244B" w:rsidRDefault="000E4D74" w:rsidP="00CC244B">
      <w:pPr>
        <w:jc w:val="center"/>
        <w:rPr>
          <w:color w:val="FF0000"/>
          <w:sz w:val="16"/>
          <w:szCs w:val="16"/>
        </w:rPr>
      </w:pPr>
      <w:r>
        <w:rPr>
          <w:b/>
          <w:noProof/>
          <w:szCs w:val="22"/>
        </w:rPr>
        <w:drawing>
          <wp:anchor distT="0" distB="0" distL="114300" distR="114300" simplePos="0" relativeHeight="251658240" behindDoc="0" locked="0" layoutInCell="1" allowOverlap="1" wp14:anchorId="04DC95EC" wp14:editId="0C5D046F">
            <wp:simplePos x="0" y="0"/>
            <wp:positionH relativeFrom="column">
              <wp:posOffset>787400</wp:posOffset>
            </wp:positionH>
            <wp:positionV relativeFrom="paragraph">
              <wp:posOffset>-238125</wp:posOffset>
            </wp:positionV>
            <wp:extent cx="3391200" cy="414000"/>
            <wp:effectExtent l="0" t="0" r="0" b="5715"/>
            <wp:wrapNone/>
            <wp:docPr id="16176175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17592" name="Grafik 161761759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91200" cy="414000"/>
                    </a:xfrm>
                    <a:prstGeom prst="rect">
                      <a:avLst/>
                    </a:prstGeom>
                  </pic:spPr>
                </pic:pic>
              </a:graphicData>
            </a:graphic>
            <wp14:sizeRelH relativeFrom="margin">
              <wp14:pctWidth>0</wp14:pctWidth>
            </wp14:sizeRelH>
            <wp14:sizeRelV relativeFrom="margin">
              <wp14:pctHeight>0</wp14:pctHeight>
            </wp14:sizeRelV>
          </wp:anchor>
        </w:drawing>
      </w:r>
    </w:p>
    <w:p w14:paraId="6A5D86A6" w14:textId="2B033D2E" w:rsidR="000E4D74" w:rsidRDefault="000E4D74" w:rsidP="00CC244B">
      <w:pPr>
        <w:jc w:val="center"/>
        <w:rPr>
          <w:color w:val="FF0000"/>
          <w:sz w:val="16"/>
          <w:szCs w:val="16"/>
        </w:rPr>
      </w:pPr>
    </w:p>
    <w:p w14:paraId="226055A2" w14:textId="3651026F" w:rsidR="000E4D74" w:rsidRDefault="000E4D74" w:rsidP="00CC244B">
      <w:pPr>
        <w:jc w:val="center"/>
        <w:rPr>
          <w:color w:val="FF0000"/>
          <w:sz w:val="16"/>
          <w:szCs w:val="16"/>
        </w:rPr>
      </w:pPr>
    </w:p>
    <w:p w14:paraId="7150AC0E" w14:textId="77777777" w:rsidR="000E4D74" w:rsidRDefault="000E4D74" w:rsidP="00CC244B">
      <w:pPr>
        <w:jc w:val="center"/>
        <w:rPr>
          <w:color w:val="FF0000"/>
          <w:sz w:val="16"/>
          <w:szCs w:val="16"/>
        </w:rPr>
      </w:pPr>
    </w:p>
    <w:p w14:paraId="69EE3DC6" w14:textId="77777777" w:rsidR="000E4D74" w:rsidRDefault="000E4D74" w:rsidP="00CC244B">
      <w:pPr>
        <w:jc w:val="center"/>
        <w:rPr>
          <w:color w:val="FF0000"/>
          <w:sz w:val="16"/>
          <w:szCs w:val="16"/>
        </w:rPr>
      </w:pPr>
    </w:p>
    <w:p w14:paraId="05B3F2C7" w14:textId="6011A241" w:rsidR="000E4D74" w:rsidRDefault="000E4D74" w:rsidP="00CC244B">
      <w:pPr>
        <w:jc w:val="center"/>
        <w:rPr>
          <w:color w:val="FF0000"/>
          <w:sz w:val="16"/>
          <w:szCs w:val="16"/>
        </w:rPr>
      </w:pPr>
    </w:p>
    <w:p w14:paraId="33B80EB8" w14:textId="5BC4BC89" w:rsidR="00CC244B" w:rsidRPr="00DD4FE1" w:rsidRDefault="00CC244B" w:rsidP="00841FCE">
      <w:pPr>
        <w:tabs>
          <w:tab w:val="left" w:pos="567"/>
        </w:tabs>
        <w:jc w:val="center"/>
        <w:rPr>
          <w:szCs w:val="22"/>
        </w:rPr>
      </w:pPr>
    </w:p>
    <w:p w14:paraId="1E554272" w14:textId="4E34D8A3" w:rsidR="00841FCE" w:rsidRPr="00DD4FE1" w:rsidRDefault="00841FCE" w:rsidP="00841FCE">
      <w:pPr>
        <w:tabs>
          <w:tab w:val="left" w:pos="567"/>
        </w:tabs>
        <w:jc w:val="center"/>
        <w:rPr>
          <w:color w:val="FF0000"/>
          <w:szCs w:val="22"/>
          <w:lang w:val="en-GB"/>
        </w:rPr>
      </w:pPr>
      <w:r w:rsidRPr="00DD4FE1">
        <w:rPr>
          <w:color w:val="000000" w:themeColor="text1"/>
          <w:szCs w:val="22"/>
          <w:lang w:val="en-GB"/>
        </w:rPr>
        <w:t xml:space="preserve">Bachelor of </w:t>
      </w:r>
      <w:r w:rsidR="00F916A0" w:rsidRPr="00DD4FE1">
        <w:rPr>
          <w:color w:val="000000" w:themeColor="text1"/>
          <w:szCs w:val="22"/>
          <w:lang w:val="en-GB"/>
        </w:rPr>
        <w:t>Arts Business Administration</w:t>
      </w:r>
    </w:p>
    <w:p w14:paraId="47E2C0F1" w14:textId="075B598E" w:rsidR="00841FCE" w:rsidRPr="00D12C80" w:rsidRDefault="00841FCE" w:rsidP="00841FCE">
      <w:pPr>
        <w:tabs>
          <w:tab w:val="left" w:pos="567"/>
        </w:tabs>
        <w:jc w:val="center"/>
        <w:rPr>
          <w:szCs w:val="22"/>
          <w:lang w:val="en-US"/>
        </w:rPr>
      </w:pPr>
    </w:p>
    <w:p w14:paraId="3896C5F0" w14:textId="7C1588EF" w:rsidR="007D0D0E" w:rsidRDefault="00841FCE" w:rsidP="00841FCE">
      <w:pPr>
        <w:tabs>
          <w:tab w:val="left" w:pos="567"/>
        </w:tabs>
        <w:jc w:val="center"/>
        <w:rPr>
          <w:szCs w:val="22"/>
        </w:rPr>
      </w:pPr>
      <w:r>
        <w:rPr>
          <w:szCs w:val="22"/>
        </w:rPr>
        <w:t>Jahrgang 20</w:t>
      </w:r>
      <w:r w:rsidR="008123D8" w:rsidRPr="008123D8">
        <w:rPr>
          <w:color w:val="000000" w:themeColor="text1"/>
          <w:szCs w:val="22"/>
        </w:rPr>
        <w:t>24</w:t>
      </w:r>
    </w:p>
    <w:p w14:paraId="59B724BB" w14:textId="68F2DBCD" w:rsidR="00841FCE" w:rsidRPr="00DD4FE1" w:rsidRDefault="00841FCE" w:rsidP="00DD4FE1">
      <w:pPr>
        <w:tabs>
          <w:tab w:val="left" w:pos="567"/>
        </w:tabs>
        <w:jc w:val="center"/>
        <w:rPr>
          <w:b/>
          <w:sz w:val="36"/>
          <w:szCs w:val="36"/>
        </w:rPr>
      </w:pPr>
    </w:p>
    <w:p w14:paraId="6A44F027" w14:textId="77777777" w:rsidR="008123D8" w:rsidRDefault="008123D8" w:rsidP="00841FCE">
      <w:pPr>
        <w:jc w:val="center"/>
        <w:rPr>
          <w:b/>
          <w:color w:val="000000" w:themeColor="text1"/>
          <w:sz w:val="40"/>
          <w:szCs w:val="40"/>
        </w:rPr>
      </w:pPr>
    </w:p>
    <w:p w14:paraId="620904C8" w14:textId="10BE2959" w:rsidR="00841FCE" w:rsidRDefault="00841FCE" w:rsidP="00841FCE">
      <w:pPr>
        <w:jc w:val="center"/>
        <w:rPr>
          <w:b/>
          <w:sz w:val="40"/>
          <w:szCs w:val="40"/>
        </w:rPr>
      </w:pPr>
      <w:r w:rsidRPr="00DD4FE1">
        <w:rPr>
          <w:b/>
          <w:color w:val="000000" w:themeColor="text1"/>
          <w:sz w:val="40"/>
          <w:szCs w:val="40"/>
        </w:rPr>
        <w:t>Studienarbeit</w:t>
      </w:r>
      <w:r w:rsidR="00A72064" w:rsidRPr="00DD4FE1">
        <w:rPr>
          <w:b/>
          <w:color w:val="FF0000"/>
          <w:sz w:val="40"/>
          <w:szCs w:val="40"/>
        </w:rPr>
        <w:t xml:space="preserve"> </w:t>
      </w:r>
    </w:p>
    <w:p w14:paraId="0F09473F" w14:textId="3351119B" w:rsidR="00841FCE" w:rsidRDefault="00841FCE" w:rsidP="00841FCE">
      <w:pPr>
        <w:rPr>
          <w:sz w:val="36"/>
          <w:szCs w:val="36"/>
        </w:rPr>
      </w:pPr>
    </w:p>
    <w:p w14:paraId="72A5C1C8" w14:textId="3066C241" w:rsidR="00063BB3" w:rsidRPr="00063BB3" w:rsidRDefault="00063BB3" w:rsidP="00063BB3">
      <w:pPr>
        <w:jc w:val="center"/>
        <w:rPr>
          <w:b/>
          <w:bCs/>
          <w:sz w:val="28"/>
          <w:szCs w:val="28"/>
        </w:rPr>
      </w:pPr>
      <w:r w:rsidRPr="00063BB3">
        <w:rPr>
          <w:b/>
          <w:bCs/>
          <w:sz w:val="36"/>
          <w:szCs w:val="36"/>
        </w:rPr>
        <w:t xml:space="preserve">Titel: </w:t>
      </w:r>
      <w:bookmarkStart w:id="0" w:name="OLE_LINK1"/>
      <w:r w:rsidRPr="00063BB3">
        <w:rPr>
          <w:b/>
          <w:bCs/>
          <w:sz w:val="36"/>
          <w:szCs w:val="36"/>
        </w:rPr>
        <w:t xml:space="preserve">Der Einfluss digitaler Marketinginnovationen auf den Unternehmenserfolg: Eine kritische Analyse der wertorientierten Mediation am Beispiel von Jung und </w:t>
      </w:r>
      <w:proofErr w:type="spellStart"/>
      <w:r w:rsidRPr="00063BB3">
        <w:rPr>
          <w:b/>
          <w:bCs/>
          <w:sz w:val="36"/>
          <w:szCs w:val="36"/>
        </w:rPr>
        <w:t>Shegai</w:t>
      </w:r>
      <w:proofErr w:type="spellEnd"/>
      <w:r w:rsidRPr="00063BB3">
        <w:rPr>
          <w:b/>
          <w:bCs/>
          <w:sz w:val="36"/>
          <w:szCs w:val="36"/>
        </w:rPr>
        <w:t xml:space="preserve"> (2023)</w:t>
      </w:r>
      <w:bookmarkEnd w:id="0"/>
    </w:p>
    <w:p w14:paraId="57E4FB21" w14:textId="5C081B1A" w:rsidR="000E4D74" w:rsidRPr="008123D8" w:rsidRDefault="000E4D74" w:rsidP="008123D8">
      <w:pPr>
        <w:jc w:val="center"/>
        <w:rPr>
          <w:b/>
          <w:sz w:val="36"/>
          <w:szCs w:val="36"/>
        </w:rPr>
      </w:pPr>
    </w:p>
    <w:p w14:paraId="7D434E1D" w14:textId="77777777" w:rsidR="000E4D74" w:rsidRDefault="000E4D74" w:rsidP="00A72064">
      <w:pPr>
        <w:jc w:val="center"/>
        <w:rPr>
          <w:b/>
          <w:sz w:val="32"/>
          <w:szCs w:val="32"/>
        </w:rPr>
      </w:pPr>
    </w:p>
    <w:p w14:paraId="1016F630" w14:textId="4A0A09F0" w:rsidR="00841FCE" w:rsidRDefault="00841FCE" w:rsidP="00841FCE"/>
    <w:p w14:paraId="5BEF3EF1" w14:textId="2C3BF72D" w:rsidR="00841FCE" w:rsidRDefault="00841FCE" w:rsidP="00841FCE"/>
    <w:p w14:paraId="044E838A" w14:textId="56F04F54" w:rsidR="00841FCE" w:rsidRDefault="008123D8" w:rsidP="00841FCE">
      <w:pPr>
        <w:jc w:val="center"/>
        <w:rPr>
          <w:sz w:val="32"/>
          <w:szCs w:val="32"/>
        </w:rPr>
      </w:pPr>
      <w:r>
        <w:rPr>
          <w:sz w:val="32"/>
          <w:szCs w:val="32"/>
        </w:rPr>
        <w:t>Michael Looks</w:t>
      </w:r>
    </w:p>
    <w:p w14:paraId="5318EC65" w14:textId="404CEB35" w:rsidR="00841FCE" w:rsidRDefault="00841FCE" w:rsidP="00841FCE">
      <w:pPr>
        <w:jc w:val="center"/>
        <w:rPr>
          <w:sz w:val="32"/>
          <w:szCs w:val="32"/>
        </w:rPr>
      </w:pPr>
    </w:p>
    <w:p w14:paraId="7E31BF6C" w14:textId="3FEE5BF7" w:rsidR="00841FCE" w:rsidRDefault="00841FCE" w:rsidP="00841FCE">
      <w:pPr>
        <w:tabs>
          <w:tab w:val="left" w:pos="567"/>
        </w:tabs>
        <w:jc w:val="center"/>
        <w:rPr>
          <w:color w:val="FF0000"/>
          <w:sz w:val="16"/>
          <w:szCs w:val="16"/>
        </w:rPr>
      </w:pPr>
    </w:p>
    <w:tbl>
      <w:tblPr>
        <w:tblW w:w="0" w:type="auto"/>
        <w:tblInd w:w="959" w:type="dxa"/>
        <w:tblLook w:val="01E0" w:firstRow="1" w:lastRow="1" w:firstColumn="1" w:lastColumn="1" w:noHBand="0" w:noVBand="0"/>
      </w:tblPr>
      <w:tblGrid>
        <w:gridCol w:w="2418"/>
        <w:gridCol w:w="4560"/>
      </w:tblGrid>
      <w:tr w:rsidR="00841FCE" w14:paraId="4CDAA8A7" w14:textId="77777777" w:rsidTr="005E26C1">
        <w:tc>
          <w:tcPr>
            <w:tcW w:w="2418" w:type="dxa"/>
          </w:tcPr>
          <w:p w14:paraId="55897F2E" w14:textId="77777777" w:rsidR="00841FCE" w:rsidRDefault="00841FCE" w:rsidP="00810B22">
            <w:pPr>
              <w:spacing w:after="120"/>
              <w:ind w:right="-195"/>
              <w:jc w:val="left"/>
              <w:rPr>
                <w:snapToGrid w:val="0"/>
                <w:szCs w:val="22"/>
              </w:rPr>
            </w:pPr>
            <w:r>
              <w:rPr>
                <w:snapToGrid w:val="0"/>
                <w:szCs w:val="22"/>
              </w:rPr>
              <w:t>1. Betreuer:</w:t>
            </w:r>
          </w:p>
        </w:tc>
        <w:tc>
          <w:tcPr>
            <w:tcW w:w="4560" w:type="dxa"/>
          </w:tcPr>
          <w:p w14:paraId="16E0E5C0" w14:textId="2DECAEBF" w:rsidR="00841FCE" w:rsidRDefault="00FE46A1" w:rsidP="00810B22">
            <w:pPr>
              <w:ind w:left="25" w:firstLine="142"/>
              <w:rPr>
                <w:snapToGrid w:val="0"/>
              </w:rPr>
            </w:pPr>
            <w:r>
              <w:rPr>
                <w:snapToGrid w:val="0"/>
                <w:color w:val="FF0000"/>
              </w:rPr>
              <w:t>Marcel Horn</w:t>
            </w:r>
          </w:p>
        </w:tc>
      </w:tr>
      <w:tr w:rsidR="00841FCE" w:rsidRPr="00665C9D" w14:paraId="6BFB4A79" w14:textId="77777777" w:rsidTr="005E26C1">
        <w:tc>
          <w:tcPr>
            <w:tcW w:w="2418" w:type="dxa"/>
          </w:tcPr>
          <w:p w14:paraId="7B84E774" w14:textId="77777777" w:rsidR="00841FCE" w:rsidRDefault="00841FCE" w:rsidP="00810B22">
            <w:pPr>
              <w:spacing w:after="120"/>
              <w:ind w:right="-195"/>
              <w:jc w:val="left"/>
              <w:rPr>
                <w:snapToGrid w:val="0"/>
                <w:szCs w:val="22"/>
              </w:rPr>
            </w:pPr>
            <w:r>
              <w:rPr>
                <w:snapToGrid w:val="0"/>
                <w:szCs w:val="22"/>
              </w:rPr>
              <w:t>2. Betreuer:</w:t>
            </w:r>
          </w:p>
        </w:tc>
        <w:tc>
          <w:tcPr>
            <w:tcW w:w="4560" w:type="dxa"/>
          </w:tcPr>
          <w:p w14:paraId="34B056B6" w14:textId="5500F51D" w:rsidR="00841FCE" w:rsidRPr="00CC244B" w:rsidRDefault="00DD4FE1" w:rsidP="00E36670">
            <w:pPr>
              <w:ind w:left="25" w:firstLine="142"/>
              <w:rPr>
                <w:snapToGrid w:val="0"/>
              </w:rPr>
            </w:pPr>
            <w:r>
              <w:rPr>
                <w:snapToGrid w:val="0"/>
                <w:color w:val="FF0000"/>
              </w:rPr>
              <w:t xml:space="preserve">z. B. </w:t>
            </w:r>
            <w:r w:rsidR="00C7675E">
              <w:rPr>
                <w:snapToGrid w:val="0"/>
                <w:color w:val="FF0000"/>
              </w:rPr>
              <w:t>Marcel Horn</w:t>
            </w:r>
          </w:p>
        </w:tc>
      </w:tr>
      <w:tr w:rsidR="00841FCE" w14:paraId="66F0C468" w14:textId="77777777" w:rsidTr="005E26C1">
        <w:tc>
          <w:tcPr>
            <w:tcW w:w="2418" w:type="dxa"/>
          </w:tcPr>
          <w:p w14:paraId="2264F34D" w14:textId="77777777" w:rsidR="00841FCE" w:rsidRDefault="00841FCE" w:rsidP="00810B22">
            <w:pPr>
              <w:spacing w:after="120"/>
              <w:ind w:right="-195"/>
              <w:jc w:val="left"/>
              <w:rPr>
                <w:snapToGrid w:val="0"/>
                <w:szCs w:val="22"/>
              </w:rPr>
            </w:pPr>
            <w:r>
              <w:rPr>
                <w:snapToGrid w:val="0"/>
                <w:szCs w:val="22"/>
              </w:rPr>
              <w:t>Bearbeitungszeitraum:</w:t>
            </w:r>
          </w:p>
        </w:tc>
        <w:tc>
          <w:tcPr>
            <w:tcW w:w="4560" w:type="dxa"/>
          </w:tcPr>
          <w:p w14:paraId="15D6A7D1" w14:textId="65079501" w:rsidR="00841FCE" w:rsidRDefault="00841FCE" w:rsidP="00810B22">
            <w:pPr>
              <w:ind w:left="25" w:firstLine="142"/>
              <w:rPr>
                <w:snapToGrid w:val="0"/>
              </w:rPr>
            </w:pPr>
            <w:r>
              <w:rPr>
                <w:snapToGrid w:val="0"/>
              </w:rPr>
              <w:t xml:space="preserve">vom: </w:t>
            </w:r>
            <w:r>
              <w:rPr>
                <w:color w:val="FF0000"/>
                <w:sz w:val="16"/>
                <w:szCs w:val="16"/>
              </w:rPr>
              <w:t xml:space="preserve">Das Datum </w:t>
            </w:r>
            <w:r w:rsidR="00C7675E">
              <w:rPr>
                <w:color w:val="FF0000"/>
                <w:sz w:val="16"/>
                <w:szCs w:val="16"/>
              </w:rPr>
              <w:t>der Anmeldung deiner Arbeit</w:t>
            </w:r>
            <w:r>
              <w:rPr>
                <w:color w:val="FF0000"/>
                <w:sz w:val="16"/>
                <w:szCs w:val="16"/>
              </w:rPr>
              <w:t xml:space="preserve"> </w:t>
            </w:r>
          </w:p>
        </w:tc>
      </w:tr>
      <w:tr w:rsidR="00841FCE" w14:paraId="0C2DCBC1" w14:textId="77777777" w:rsidTr="005E26C1">
        <w:tc>
          <w:tcPr>
            <w:tcW w:w="2418" w:type="dxa"/>
          </w:tcPr>
          <w:p w14:paraId="3DABAE8F" w14:textId="77777777" w:rsidR="00841FCE" w:rsidRDefault="00841FCE" w:rsidP="00810B22">
            <w:pPr>
              <w:spacing w:after="120"/>
              <w:jc w:val="left"/>
              <w:rPr>
                <w:snapToGrid w:val="0"/>
                <w:szCs w:val="22"/>
              </w:rPr>
            </w:pPr>
          </w:p>
        </w:tc>
        <w:tc>
          <w:tcPr>
            <w:tcW w:w="4560" w:type="dxa"/>
          </w:tcPr>
          <w:p w14:paraId="7E54898C" w14:textId="73A2EF9F" w:rsidR="00841FCE" w:rsidRDefault="00841FCE" w:rsidP="00810B22">
            <w:pPr>
              <w:ind w:left="25" w:firstLine="142"/>
              <w:rPr>
                <w:snapToGrid w:val="0"/>
              </w:rPr>
            </w:pPr>
            <w:r>
              <w:rPr>
                <w:snapToGrid w:val="0"/>
              </w:rPr>
              <w:t xml:space="preserve">bis: </w:t>
            </w:r>
            <w:r>
              <w:rPr>
                <w:color w:val="FF0000"/>
                <w:sz w:val="16"/>
                <w:szCs w:val="16"/>
              </w:rPr>
              <w:t>3 Monate nach Anmeldung</w:t>
            </w:r>
            <w:r w:rsidR="00C7675E">
              <w:rPr>
                <w:color w:val="FF0000"/>
                <w:sz w:val="16"/>
                <w:szCs w:val="16"/>
              </w:rPr>
              <w:t xml:space="preserve"> bei STA oder PSA</w:t>
            </w:r>
            <w:r w:rsidR="00B72E49">
              <w:rPr>
                <w:color w:val="FF0000"/>
                <w:sz w:val="16"/>
                <w:szCs w:val="16"/>
              </w:rPr>
              <w:t xml:space="preserve"> </w:t>
            </w:r>
            <w:r w:rsidR="00971431">
              <w:rPr>
                <w:color w:val="FF0000"/>
                <w:sz w:val="16"/>
                <w:szCs w:val="16"/>
              </w:rPr>
              <w:t>/</w:t>
            </w:r>
            <w:r w:rsidR="00B72E49">
              <w:rPr>
                <w:color w:val="FF0000"/>
                <w:sz w:val="16"/>
                <w:szCs w:val="16"/>
              </w:rPr>
              <w:t xml:space="preserve"> </w:t>
            </w:r>
            <w:r w:rsidR="00971431">
              <w:rPr>
                <w:color w:val="FF0000"/>
                <w:sz w:val="16"/>
                <w:szCs w:val="16"/>
              </w:rPr>
              <w:t>6 Monate bei Thesis</w:t>
            </w:r>
          </w:p>
        </w:tc>
      </w:tr>
    </w:tbl>
    <w:p w14:paraId="554BF3B9" w14:textId="7F9C520E" w:rsidR="005E26C1" w:rsidRDefault="005E26C1" w:rsidP="005E26C1">
      <w:pPr>
        <w:jc w:val="center"/>
        <w:rPr>
          <w:b/>
          <w:szCs w:val="22"/>
        </w:rPr>
      </w:pPr>
    </w:p>
    <w:p w14:paraId="7B67903F" w14:textId="16462A5D" w:rsidR="00841FCE" w:rsidRDefault="00841FCE" w:rsidP="00841FCE">
      <w:pPr>
        <w:jc w:val="center"/>
        <w:rPr>
          <w:b/>
          <w:szCs w:val="22"/>
        </w:rPr>
      </w:pPr>
    </w:p>
    <w:p w14:paraId="1144199B" w14:textId="65648EDF" w:rsidR="00841FCE" w:rsidRDefault="00841FCE" w:rsidP="00C7675E">
      <w:pPr>
        <w:rPr>
          <w:b/>
          <w:szCs w:val="22"/>
        </w:rPr>
      </w:pPr>
      <w:r>
        <w:rPr>
          <w:b/>
          <w:szCs w:val="22"/>
        </w:rPr>
        <w:br w:type="page"/>
      </w:r>
      <w:r>
        <w:rPr>
          <w:b/>
          <w:szCs w:val="22"/>
        </w:rPr>
        <w:lastRenderedPageBreak/>
        <w:t>Selbständigkeitserklärung:</w:t>
      </w:r>
    </w:p>
    <w:p w14:paraId="7C970075" w14:textId="77777777" w:rsidR="00841FCE" w:rsidRDefault="00841FCE" w:rsidP="00841FCE"/>
    <w:p w14:paraId="47F98EB3" w14:textId="77777777" w:rsidR="00841FCE" w:rsidRDefault="00841FCE" w:rsidP="00841FCE">
      <w:pPr>
        <w:rPr>
          <w:szCs w:val="22"/>
        </w:rPr>
      </w:pPr>
      <w:r>
        <w:rPr>
          <w:szCs w:val="22"/>
        </w:rPr>
        <w:t xml:space="preserve">Ich habe die vorliegende Studienarbeit selbständig verfasst und keine anderen als die angegebenen Quellen und Hilfsmittel benutzt. Alle Stellen, die wörtlich oder sinngemäß fremden Quellen entnommen wurden, sind als solche kenntlich gemacht. </w:t>
      </w:r>
    </w:p>
    <w:p w14:paraId="4BE44F27" w14:textId="77777777" w:rsidR="00841FCE" w:rsidRDefault="00841FCE" w:rsidP="00841FCE">
      <w:pPr>
        <w:rPr>
          <w:szCs w:val="22"/>
        </w:rPr>
      </w:pPr>
    </w:p>
    <w:p w14:paraId="10BD7B1D" w14:textId="77777777" w:rsidR="00841FCE" w:rsidRDefault="00841FCE" w:rsidP="00841FCE">
      <w:pPr>
        <w:rPr>
          <w:szCs w:val="22"/>
        </w:rPr>
      </w:pPr>
    </w:p>
    <w:p w14:paraId="5028C93F" w14:textId="77777777" w:rsidR="00841FCE" w:rsidRDefault="00841FCE" w:rsidP="00841FCE">
      <w:pPr>
        <w:rPr>
          <w:szCs w:val="22"/>
        </w:rPr>
      </w:pPr>
    </w:p>
    <w:tbl>
      <w:tblPr>
        <w:tblW w:w="8008" w:type="dxa"/>
        <w:tblLayout w:type="fixed"/>
        <w:tblCellMar>
          <w:left w:w="70" w:type="dxa"/>
          <w:right w:w="70" w:type="dxa"/>
        </w:tblCellMar>
        <w:tblLook w:val="0000" w:firstRow="0" w:lastRow="0" w:firstColumn="0" w:lastColumn="0" w:noHBand="0" w:noVBand="0"/>
      </w:tblPr>
      <w:tblGrid>
        <w:gridCol w:w="3756"/>
        <w:gridCol w:w="4252"/>
      </w:tblGrid>
      <w:tr w:rsidR="00841FCE" w14:paraId="7DB838C1" w14:textId="77777777" w:rsidTr="00810B22">
        <w:tc>
          <w:tcPr>
            <w:tcW w:w="3756" w:type="dxa"/>
          </w:tcPr>
          <w:p w14:paraId="47BD5B31" w14:textId="77777777" w:rsidR="00841FCE" w:rsidRDefault="00841FCE" w:rsidP="00810B22">
            <w:pPr>
              <w:rPr>
                <w:szCs w:val="22"/>
              </w:rPr>
            </w:pPr>
          </w:p>
        </w:tc>
        <w:tc>
          <w:tcPr>
            <w:tcW w:w="4252" w:type="dxa"/>
            <w:tcBorders>
              <w:bottom w:val="single" w:sz="4" w:space="0" w:color="auto"/>
            </w:tcBorders>
          </w:tcPr>
          <w:p w14:paraId="46603075" w14:textId="77777777" w:rsidR="00841FCE" w:rsidRDefault="00841FCE" w:rsidP="00810B22">
            <w:pPr>
              <w:rPr>
                <w:i/>
                <w:vanish/>
                <w:sz w:val="18"/>
                <w:szCs w:val="18"/>
              </w:rPr>
            </w:pPr>
            <w:r>
              <w:rPr>
                <w:i/>
                <w:vanish/>
                <w:sz w:val="18"/>
                <w:szCs w:val="18"/>
              </w:rPr>
              <w:t>Unterschrift</w:t>
            </w:r>
          </w:p>
          <w:p w14:paraId="732FC12E" w14:textId="77777777" w:rsidR="00841FCE" w:rsidRDefault="00841FCE" w:rsidP="00810B22">
            <w:pPr>
              <w:rPr>
                <w:szCs w:val="22"/>
              </w:rPr>
            </w:pPr>
          </w:p>
          <w:p w14:paraId="0A130943" w14:textId="77777777" w:rsidR="00841FCE" w:rsidRDefault="00841FCE" w:rsidP="00810B22">
            <w:pPr>
              <w:rPr>
                <w:szCs w:val="22"/>
              </w:rPr>
            </w:pPr>
          </w:p>
          <w:p w14:paraId="1756F315" w14:textId="77777777" w:rsidR="00841FCE" w:rsidRDefault="00841FCE" w:rsidP="00810B22">
            <w:pPr>
              <w:rPr>
                <w:szCs w:val="22"/>
              </w:rPr>
            </w:pPr>
          </w:p>
        </w:tc>
      </w:tr>
      <w:tr w:rsidR="00841FCE" w14:paraId="1B31E6B6" w14:textId="77777777" w:rsidTr="00810B22">
        <w:tc>
          <w:tcPr>
            <w:tcW w:w="3756" w:type="dxa"/>
          </w:tcPr>
          <w:p w14:paraId="1F6632EF" w14:textId="0377D58D" w:rsidR="00841FCE" w:rsidRDefault="00FE46A1" w:rsidP="00810B22">
            <w:r w:rsidRPr="00FE46A1">
              <w:rPr>
                <w:color w:val="000000" w:themeColor="text1"/>
              </w:rPr>
              <w:t>Reken</w:t>
            </w:r>
            <w:r w:rsidR="00841FCE" w:rsidRPr="00FE46A1">
              <w:rPr>
                <w:color w:val="000000" w:themeColor="text1"/>
              </w:rPr>
              <w:t xml:space="preserve">, den </w:t>
            </w:r>
            <w:proofErr w:type="spellStart"/>
            <w:r w:rsidR="00841FCE" w:rsidRPr="00FE46A1">
              <w:rPr>
                <w:color w:val="000000" w:themeColor="text1"/>
              </w:rPr>
              <w:t>xx.</w:t>
            </w:r>
            <w:proofErr w:type="gramStart"/>
            <w:r w:rsidR="00841FCE" w:rsidRPr="00FE46A1">
              <w:rPr>
                <w:color w:val="000000" w:themeColor="text1"/>
              </w:rPr>
              <w:t>xx.xxxx</w:t>
            </w:r>
            <w:proofErr w:type="spellEnd"/>
            <w:proofErr w:type="gramEnd"/>
          </w:p>
        </w:tc>
        <w:tc>
          <w:tcPr>
            <w:tcW w:w="4252" w:type="dxa"/>
            <w:tcBorders>
              <w:top w:val="single" w:sz="4" w:space="0" w:color="auto"/>
            </w:tcBorders>
          </w:tcPr>
          <w:p w14:paraId="2EBCC72D" w14:textId="19125F72" w:rsidR="00841FCE" w:rsidRPr="00FE46A1" w:rsidRDefault="00841FCE" w:rsidP="00810B22">
            <w:pPr>
              <w:rPr>
                <w:color w:val="000000" w:themeColor="text1"/>
              </w:rPr>
            </w:pPr>
            <w:r w:rsidRPr="00FE46A1">
              <w:rPr>
                <w:color w:val="000000" w:themeColor="text1"/>
              </w:rPr>
              <w:t xml:space="preserve">         </w:t>
            </w:r>
            <w:r w:rsidR="00FE46A1" w:rsidRPr="00FE46A1">
              <w:rPr>
                <w:color w:val="000000" w:themeColor="text1"/>
              </w:rPr>
              <w:t>Michael Looks</w:t>
            </w:r>
          </w:p>
        </w:tc>
      </w:tr>
    </w:tbl>
    <w:p w14:paraId="646C9407" w14:textId="77777777" w:rsidR="00841FCE" w:rsidRDefault="00841FCE" w:rsidP="00841FCE">
      <w:pPr>
        <w:rPr>
          <w:szCs w:val="22"/>
        </w:rPr>
      </w:pPr>
    </w:p>
    <w:p w14:paraId="3477CE6C" w14:textId="77777777" w:rsidR="00841FCE" w:rsidRDefault="00841FCE" w:rsidP="00841FCE">
      <w:pPr>
        <w:rPr>
          <w:szCs w:val="22"/>
        </w:rPr>
      </w:pPr>
    </w:p>
    <w:p w14:paraId="7336E511" w14:textId="77777777" w:rsidR="00841FCE" w:rsidRDefault="00841FCE" w:rsidP="00841FCE">
      <w:pPr>
        <w:rPr>
          <w:szCs w:val="22"/>
        </w:rPr>
      </w:pPr>
    </w:p>
    <w:p w14:paraId="1BFEA33B" w14:textId="77777777" w:rsidR="00841FCE" w:rsidRDefault="00841FCE" w:rsidP="00841FCE">
      <w:pPr>
        <w:rPr>
          <w:szCs w:val="22"/>
        </w:rPr>
      </w:pPr>
    </w:p>
    <w:p w14:paraId="12C8D133" w14:textId="77777777" w:rsidR="00841FCE" w:rsidRDefault="00841FCE" w:rsidP="00841FCE">
      <w:pPr>
        <w:rPr>
          <w:szCs w:val="22"/>
        </w:rPr>
      </w:pPr>
    </w:p>
    <w:p w14:paraId="3D0E3EEF" w14:textId="77777777" w:rsidR="00841FCE" w:rsidRDefault="00841FCE" w:rsidP="00841FCE">
      <w:pPr>
        <w:rPr>
          <w:szCs w:val="22"/>
        </w:rPr>
      </w:pPr>
    </w:p>
    <w:p w14:paraId="66913382" w14:textId="77777777" w:rsidR="00841FCE" w:rsidRDefault="00841FCE" w:rsidP="00841FCE">
      <w:pPr>
        <w:rPr>
          <w:szCs w:val="22"/>
        </w:rPr>
      </w:pPr>
    </w:p>
    <w:p w14:paraId="57B42E90" w14:textId="77777777" w:rsidR="00841FCE" w:rsidRDefault="00841FCE" w:rsidP="00841FCE">
      <w:pPr>
        <w:rPr>
          <w:szCs w:val="22"/>
        </w:rPr>
      </w:pPr>
    </w:p>
    <w:p w14:paraId="366B21E8" w14:textId="77777777" w:rsidR="00841FCE" w:rsidRDefault="00841FCE" w:rsidP="00841FCE">
      <w:pPr>
        <w:rPr>
          <w:szCs w:val="22"/>
        </w:rPr>
      </w:pPr>
    </w:p>
    <w:p w14:paraId="470081B8" w14:textId="77777777" w:rsidR="00841FCE" w:rsidRDefault="00841FCE" w:rsidP="00841FCE">
      <w:pPr>
        <w:rPr>
          <w:szCs w:val="22"/>
        </w:rPr>
      </w:pPr>
    </w:p>
    <w:p w14:paraId="797D51C6" w14:textId="77777777" w:rsidR="00841FCE" w:rsidRDefault="00841FCE" w:rsidP="00841FCE">
      <w:pPr>
        <w:rPr>
          <w:szCs w:val="22"/>
        </w:rPr>
      </w:pPr>
    </w:p>
    <w:p w14:paraId="57B70247" w14:textId="77777777" w:rsidR="00841FCE" w:rsidRDefault="00841FCE" w:rsidP="00841FCE">
      <w:pPr>
        <w:rPr>
          <w:szCs w:val="22"/>
        </w:rPr>
      </w:pPr>
    </w:p>
    <w:p w14:paraId="22DF469F" w14:textId="77777777" w:rsidR="00841FCE" w:rsidRDefault="00841FCE" w:rsidP="00841FCE">
      <w:pPr>
        <w:rPr>
          <w:szCs w:val="22"/>
        </w:rPr>
      </w:pPr>
    </w:p>
    <w:p w14:paraId="6AA4F9A8" w14:textId="77777777" w:rsidR="00841FCE" w:rsidRDefault="00841FCE" w:rsidP="00841FCE">
      <w:pPr>
        <w:rPr>
          <w:szCs w:val="22"/>
        </w:rPr>
      </w:pPr>
    </w:p>
    <w:p w14:paraId="560A8F33" w14:textId="77777777" w:rsidR="00841FCE" w:rsidRDefault="00841FCE" w:rsidP="00841FCE">
      <w:pPr>
        <w:rPr>
          <w:szCs w:val="22"/>
        </w:rPr>
      </w:pPr>
    </w:p>
    <w:p w14:paraId="5952E6B0" w14:textId="77777777" w:rsidR="00FE46A1" w:rsidRDefault="00FE46A1" w:rsidP="00FE46A1">
      <w:pPr>
        <w:spacing w:line="240" w:lineRule="auto"/>
        <w:jc w:val="left"/>
        <w:rPr>
          <w:szCs w:val="22"/>
        </w:rPr>
      </w:pPr>
    </w:p>
    <w:p w14:paraId="3BDBC26C" w14:textId="77777777" w:rsidR="00FE46A1" w:rsidRDefault="00FE46A1" w:rsidP="00FE46A1">
      <w:pPr>
        <w:spacing w:line="240" w:lineRule="auto"/>
        <w:jc w:val="left"/>
        <w:rPr>
          <w:szCs w:val="22"/>
        </w:rPr>
      </w:pPr>
    </w:p>
    <w:p w14:paraId="3D3BFE28" w14:textId="77777777" w:rsidR="00FE46A1" w:rsidRDefault="00FE46A1" w:rsidP="00FE46A1">
      <w:pPr>
        <w:spacing w:line="240" w:lineRule="auto"/>
        <w:jc w:val="left"/>
        <w:rPr>
          <w:szCs w:val="22"/>
        </w:rPr>
      </w:pPr>
    </w:p>
    <w:p w14:paraId="1C174608" w14:textId="77777777" w:rsidR="00FE46A1" w:rsidRDefault="00FE46A1" w:rsidP="00FE46A1">
      <w:pPr>
        <w:spacing w:line="240" w:lineRule="auto"/>
        <w:jc w:val="left"/>
        <w:rPr>
          <w:szCs w:val="22"/>
        </w:rPr>
      </w:pPr>
    </w:p>
    <w:p w14:paraId="7AEBCF78" w14:textId="77777777" w:rsidR="00FE46A1" w:rsidRDefault="00FE46A1" w:rsidP="00FE46A1">
      <w:pPr>
        <w:spacing w:line="240" w:lineRule="auto"/>
        <w:jc w:val="left"/>
        <w:rPr>
          <w:szCs w:val="22"/>
        </w:rPr>
      </w:pPr>
    </w:p>
    <w:p w14:paraId="1C61C5F1" w14:textId="77777777" w:rsidR="00FE46A1" w:rsidRDefault="00FE46A1" w:rsidP="00FE46A1">
      <w:pPr>
        <w:spacing w:line="240" w:lineRule="auto"/>
        <w:jc w:val="left"/>
        <w:rPr>
          <w:szCs w:val="22"/>
        </w:rPr>
      </w:pPr>
    </w:p>
    <w:p w14:paraId="309F2EB4" w14:textId="77777777" w:rsidR="00FE46A1" w:rsidRDefault="00FE46A1" w:rsidP="00FE46A1">
      <w:pPr>
        <w:spacing w:line="240" w:lineRule="auto"/>
        <w:jc w:val="left"/>
        <w:rPr>
          <w:szCs w:val="22"/>
        </w:rPr>
      </w:pPr>
    </w:p>
    <w:p w14:paraId="62FC0EB2" w14:textId="77777777" w:rsidR="00FE46A1" w:rsidRDefault="00FE46A1" w:rsidP="00FE46A1">
      <w:pPr>
        <w:spacing w:line="240" w:lineRule="auto"/>
        <w:jc w:val="left"/>
        <w:rPr>
          <w:szCs w:val="22"/>
        </w:rPr>
      </w:pPr>
    </w:p>
    <w:p w14:paraId="16F30EA8" w14:textId="77777777" w:rsidR="00FE46A1" w:rsidRDefault="00FE46A1" w:rsidP="00FE46A1">
      <w:pPr>
        <w:spacing w:line="240" w:lineRule="auto"/>
        <w:jc w:val="left"/>
        <w:rPr>
          <w:szCs w:val="22"/>
        </w:rPr>
      </w:pPr>
    </w:p>
    <w:p w14:paraId="03B57835" w14:textId="77777777" w:rsidR="00FE46A1" w:rsidRDefault="00FE46A1" w:rsidP="00FE46A1">
      <w:pPr>
        <w:spacing w:line="240" w:lineRule="auto"/>
        <w:jc w:val="left"/>
        <w:rPr>
          <w:szCs w:val="22"/>
        </w:rPr>
      </w:pPr>
    </w:p>
    <w:p w14:paraId="6C616B9F" w14:textId="77777777" w:rsidR="00FE46A1" w:rsidRDefault="00FE46A1" w:rsidP="00FE46A1">
      <w:pPr>
        <w:spacing w:line="240" w:lineRule="auto"/>
        <w:jc w:val="left"/>
        <w:rPr>
          <w:szCs w:val="22"/>
        </w:rPr>
      </w:pPr>
    </w:p>
    <w:p w14:paraId="26BC348A" w14:textId="63D13815" w:rsidR="002E67C9" w:rsidRPr="00FE46A1" w:rsidRDefault="002E67C9" w:rsidP="00FE46A1">
      <w:pPr>
        <w:spacing w:line="240" w:lineRule="auto"/>
        <w:jc w:val="left"/>
        <w:rPr>
          <w:szCs w:val="22"/>
        </w:rPr>
      </w:pPr>
      <w:r w:rsidRPr="002E67C9">
        <w:rPr>
          <w:b/>
          <w:bCs/>
          <w:sz w:val="28"/>
          <w:szCs w:val="28"/>
        </w:rPr>
        <w:lastRenderedPageBreak/>
        <w:t>Gender-Klausel</w:t>
      </w:r>
    </w:p>
    <w:p w14:paraId="1D385BCA" w14:textId="77777777" w:rsidR="002E67C9" w:rsidRPr="002E67C9" w:rsidRDefault="002E67C9" w:rsidP="002E67C9">
      <w:pPr>
        <w:rPr>
          <w:szCs w:val="22"/>
        </w:rPr>
      </w:pPr>
    </w:p>
    <w:p w14:paraId="33831146" w14:textId="6B9F48F2" w:rsidR="00AF6CDF" w:rsidRPr="002E67C9" w:rsidRDefault="002E67C9" w:rsidP="002E67C9">
      <w:pPr>
        <w:rPr>
          <w:szCs w:val="22"/>
        </w:rPr>
      </w:pPr>
      <w:r w:rsidRPr="002E67C9">
        <w:rPr>
          <w:szCs w:val="22"/>
        </w:rPr>
        <w:t>Im Folgenden wird zur besseren Lesbarkeit nur die männliche Form verwendet. Es können jedoch sowohl männliche und weibliche Personen als auch Personen eines anderen Geschlechts gemeint sein.</w:t>
      </w:r>
    </w:p>
    <w:p w14:paraId="4BC93592" w14:textId="77777777" w:rsidR="00AF6CDF" w:rsidRDefault="00AF6CDF" w:rsidP="00AF6CDF">
      <w:pPr>
        <w:spacing w:line="240" w:lineRule="auto"/>
        <w:jc w:val="left"/>
        <w:rPr>
          <w:szCs w:val="22"/>
        </w:rPr>
      </w:pPr>
    </w:p>
    <w:p w14:paraId="5B8C2CE3" w14:textId="77777777" w:rsidR="002E67C9" w:rsidRDefault="002E67C9" w:rsidP="00AF6CDF">
      <w:pPr>
        <w:spacing w:line="240" w:lineRule="auto"/>
        <w:jc w:val="left"/>
        <w:rPr>
          <w:szCs w:val="22"/>
        </w:rPr>
      </w:pPr>
    </w:p>
    <w:p w14:paraId="263DFEBA" w14:textId="77777777" w:rsidR="002E67C9" w:rsidRDefault="002E67C9" w:rsidP="00AF6CDF">
      <w:pPr>
        <w:spacing w:line="240" w:lineRule="auto"/>
        <w:jc w:val="left"/>
        <w:rPr>
          <w:szCs w:val="22"/>
        </w:rPr>
      </w:pPr>
    </w:p>
    <w:p w14:paraId="500382AA" w14:textId="77777777" w:rsidR="002E67C9" w:rsidRDefault="002E67C9" w:rsidP="00AF6CDF">
      <w:pPr>
        <w:spacing w:line="240" w:lineRule="auto"/>
        <w:jc w:val="left"/>
        <w:rPr>
          <w:szCs w:val="22"/>
        </w:rPr>
      </w:pPr>
    </w:p>
    <w:p w14:paraId="0F0904AC" w14:textId="77777777" w:rsidR="002E67C9" w:rsidRDefault="002E67C9" w:rsidP="00AF6CDF">
      <w:pPr>
        <w:spacing w:line="240" w:lineRule="auto"/>
        <w:jc w:val="left"/>
        <w:rPr>
          <w:szCs w:val="22"/>
        </w:rPr>
      </w:pPr>
    </w:p>
    <w:p w14:paraId="21E47420" w14:textId="77777777" w:rsidR="002E67C9" w:rsidRDefault="002E67C9" w:rsidP="00AF6CDF">
      <w:pPr>
        <w:spacing w:line="240" w:lineRule="auto"/>
        <w:jc w:val="left"/>
        <w:rPr>
          <w:szCs w:val="22"/>
        </w:rPr>
      </w:pPr>
    </w:p>
    <w:p w14:paraId="061E111E" w14:textId="77777777" w:rsidR="004D4657" w:rsidRDefault="004D4657" w:rsidP="004D4657">
      <w:pPr>
        <w:rPr>
          <w:szCs w:val="22"/>
        </w:rPr>
      </w:pPr>
    </w:p>
    <w:p w14:paraId="264AA22C" w14:textId="77777777" w:rsidR="00841FCE" w:rsidRDefault="00841FCE" w:rsidP="00841FCE">
      <w:pPr>
        <w:rPr>
          <w:szCs w:val="22"/>
        </w:rPr>
        <w:sectPr w:rsidR="00841FCE">
          <w:headerReference w:type="default" r:id="rId9"/>
          <w:footerReference w:type="even" r:id="rId10"/>
          <w:footerReference w:type="default" r:id="rId11"/>
          <w:footerReference w:type="first" r:id="rId12"/>
          <w:pgSz w:w="11906" w:h="16838" w:code="9"/>
          <w:pgMar w:top="1701" w:right="1701" w:bottom="1418" w:left="2268" w:header="567" w:footer="851" w:gutter="0"/>
          <w:pgNumType w:fmt="upperRoman" w:start="1"/>
          <w:cols w:space="720"/>
        </w:sectPr>
      </w:pPr>
    </w:p>
    <w:p w14:paraId="3E1D5EEC" w14:textId="77777777" w:rsidR="00841FCE" w:rsidRDefault="00841FCE" w:rsidP="00841FCE">
      <w:pPr>
        <w:sectPr w:rsidR="00841FCE" w:rsidSect="00164579">
          <w:headerReference w:type="default" r:id="rId13"/>
          <w:footerReference w:type="default" r:id="rId14"/>
          <w:pgSz w:w="11906" w:h="16838" w:code="9"/>
          <w:pgMar w:top="1701" w:right="1701" w:bottom="1418" w:left="2268" w:header="567" w:footer="851" w:gutter="0"/>
          <w:pgNumType w:fmt="upperRoman" w:start="1"/>
          <w:cols w:space="720"/>
        </w:sectPr>
      </w:pPr>
    </w:p>
    <w:p w14:paraId="07CF696A" w14:textId="5A30016A" w:rsidR="00841FCE" w:rsidRDefault="00841FCE" w:rsidP="00841FCE">
      <w:pPr>
        <w:pStyle w:val="berschrift1"/>
      </w:pPr>
      <w:bookmarkStart w:id="1" w:name="_Toc212726430"/>
      <w:r>
        <w:lastRenderedPageBreak/>
        <w:t>1 Einleitung</w:t>
      </w:r>
      <w:bookmarkEnd w:id="1"/>
    </w:p>
    <w:p w14:paraId="7F609C1C" w14:textId="77777777" w:rsidR="00167F67" w:rsidRDefault="00167F67" w:rsidP="00841FCE">
      <w:pPr>
        <w:rPr>
          <w:snapToGrid w:val="0"/>
        </w:rPr>
      </w:pPr>
    </w:p>
    <w:p w14:paraId="2678529F" w14:textId="67CF98B8" w:rsidR="00FE46A1" w:rsidRPr="00520DB7" w:rsidRDefault="00841FCE" w:rsidP="008D6297">
      <w:pPr>
        <w:pStyle w:val="berschrift1"/>
        <w:ind w:left="0" w:firstLine="0"/>
        <w:rPr>
          <w:snapToGrid w:val="0"/>
        </w:rPr>
      </w:pPr>
      <w:bookmarkStart w:id="2" w:name="_Toc212726431"/>
      <w:r>
        <w:rPr>
          <w:snapToGrid w:val="0"/>
        </w:rPr>
        <w:lastRenderedPageBreak/>
        <w:t xml:space="preserve">2 </w:t>
      </w:r>
      <w:bookmarkEnd w:id="2"/>
      <w:r w:rsidR="00FE46A1">
        <w:t>Theoretische Bezugspunkte der Untersuchung</w:t>
      </w:r>
      <w:bookmarkStart w:id="3" w:name="_Toc182901693"/>
    </w:p>
    <w:p w14:paraId="2462713F" w14:textId="7696B1AF" w:rsidR="00841FCE" w:rsidRDefault="00841FCE" w:rsidP="00841FCE">
      <w:pPr>
        <w:pStyle w:val="berschrift2"/>
      </w:pPr>
      <w:bookmarkStart w:id="4" w:name="_Toc212726432"/>
      <w:r>
        <w:t xml:space="preserve">2.1 </w:t>
      </w:r>
      <w:bookmarkEnd w:id="3"/>
      <w:bookmarkEnd w:id="4"/>
      <w:r w:rsidR="00520DB7">
        <w:t>Definitionen und konzeptionelle Grundlagen</w:t>
      </w:r>
    </w:p>
    <w:p w14:paraId="28452607" w14:textId="25F4E989" w:rsidR="00520DB7" w:rsidRPr="00DC39F0" w:rsidRDefault="00520DB7" w:rsidP="00DC39F0">
      <w:pPr>
        <w:pStyle w:val="berschrift3"/>
        <w:rPr>
          <w:rFonts w:ascii="Times New Roman" w:hAnsi="Times New Roman"/>
          <w:sz w:val="24"/>
        </w:rPr>
      </w:pPr>
      <w:r>
        <w:t>2.1.1 Digitale Marketinginnovation (DMI)</w:t>
      </w:r>
    </w:p>
    <w:p w14:paraId="4E70E85A" w14:textId="2610E2C4" w:rsidR="00654F8F" w:rsidRDefault="00654F8F" w:rsidP="00654F8F">
      <w:pPr>
        <w:tabs>
          <w:tab w:val="left" w:pos="567"/>
        </w:tabs>
        <w:rPr>
          <w:snapToGrid w:val="0"/>
          <w:szCs w:val="22"/>
        </w:rPr>
      </w:pPr>
      <w:r w:rsidRPr="00654F8F">
        <w:rPr>
          <w:snapToGrid w:val="0"/>
          <w:szCs w:val="22"/>
        </w:rPr>
        <w:t>Der Begriff der Innovation bildet im Marketingmanagement eine der zentralen Säulen für die Erzielung von Wettbewerbsvorteilen. Nach dem grundlegenden Verständnis von Homburg (2017) wird Innovation als die Realisierung einer neuartigen Problemlösung definiert, die für ein Unternehmen oder einen Markt einen signifikanten Mehrwert generiert (Homburg, 2017, S. 176). Diese Definition impliziert zwei wesentliche Dimensionen</w:t>
      </w:r>
      <w:r w:rsidR="001B5B58">
        <w:rPr>
          <w:snapToGrid w:val="0"/>
          <w:szCs w:val="22"/>
        </w:rPr>
        <w:t>.</w:t>
      </w:r>
      <w:r w:rsidRPr="00654F8F">
        <w:rPr>
          <w:snapToGrid w:val="0"/>
          <w:szCs w:val="22"/>
        </w:rPr>
        <w:t xml:space="preserve"> </w:t>
      </w:r>
      <w:r w:rsidR="001B5B58">
        <w:rPr>
          <w:snapToGrid w:val="0"/>
          <w:szCs w:val="22"/>
        </w:rPr>
        <w:t>D</w:t>
      </w:r>
      <w:r w:rsidRPr="00654F8F">
        <w:rPr>
          <w:snapToGrid w:val="0"/>
          <w:szCs w:val="22"/>
        </w:rPr>
        <w:t>ie Objektdimension</w:t>
      </w:r>
      <w:r w:rsidR="00417A1D">
        <w:rPr>
          <w:snapToGrid w:val="0"/>
          <w:szCs w:val="22"/>
        </w:rPr>
        <w:t xml:space="preserve">, also die Frage was neu ist, </w:t>
      </w:r>
      <w:r w:rsidRPr="00654F8F">
        <w:rPr>
          <w:snapToGrid w:val="0"/>
          <w:szCs w:val="22"/>
        </w:rPr>
        <w:t>und die Prozessdimension</w:t>
      </w:r>
      <w:r w:rsidR="00417A1D">
        <w:rPr>
          <w:snapToGrid w:val="0"/>
          <w:szCs w:val="22"/>
        </w:rPr>
        <w:t xml:space="preserve">, die Frage zur Umsetzung. </w:t>
      </w:r>
      <w:r w:rsidRPr="00654F8F">
        <w:rPr>
          <w:snapToGrid w:val="0"/>
          <w:szCs w:val="22"/>
        </w:rPr>
        <w:t>In der klassischen Literatur wird dabei häufig zwischen inkrementellen Innovationen, die bestehende Produkte oder Prozesse lediglich optimieren, und radikalen Innovationen, welche die Marktregeln grundlegend verändern, unterschieden (Homburg, 2017, S. 180).</w:t>
      </w:r>
    </w:p>
    <w:p w14:paraId="76FEB03D" w14:textId="77777777" w:rsidR="00DC39F0" w:rsidRPr="00654F8F" w:rsidRDefault="00DC39F0" w:rsidP="00654F8F">
      <w:pPr>
        <w:tabs>
          <w:tab w:val="left" w:pos="567"/>
        </w:tabs>
        <w:rPr>
          <w:snapToGrid w:val="0"/>
          <w:szCs w:val="22"/>
        </w:rPr>
      </w:pPr>
    </w:p>
    <w:p w14:paraId="5C8EAA39" w14:textId="3F8B76D9" w:rsidR="00654F8F" w:rsidRDefault="00654F8F" w:rsidP="00654F8F">
      <w:pPr>
        <w:tabs>
          <w:tab w:val="left" w:pos="567"/>
        </w:tabs>
        <w:rPr>
          <w:snapToGrid w:val="0"/>
          <w:szCs w:val="22"/>
        </w:rPr>
      </w:pPr>
      <w:r w:rsidRPr="00654F8F">
        <w:rPr>
          <w:snapToGrid w:val="0"/>
          <w:szCs w:val="22"/>
        </w:rPr>
        <w:t xml:space="preserve">Jung und </w:t>
      </w:r>
      <w:proofErr w:type="spellStart"/>
      <w:r w:rsidRPr="00654F8F">
        <w:rPr>
          <w:snapToGrid w:val="0"/>
          <w:szCs w:val="22"/>
        </w:rPr>
        <w:t>Shegai</w:t>
      </w:r>
      <w:proofErr w:type="spellEnd"/>
      <w:r w:rsidRPr="00654F8F">
        <w:rPr>
          <w:snapToGrid w:val="0"/>
          <w:szCs w:val="22"/>
        </w:rPr>
        <w:t xml:space="preserve"> (2023) definieren die digitale Marketinginnovation (DMI) als die synergetische Verbindung aus technologischen Neuerungen und innovativen Vermarktungsstrategien an der Schnittstelle zwischen Unternehmen und Kunden. D</w:t>
      </w:r>
      <w:r w:rsidR="005C323F">
        <w:rPr>
          <w:snapToGrid w:val="0"/>
          <w:szCs w:val="22"/>
        </w:rPr>
        <w:t>igitale Marketinginnovationen</w:t>
      </w:r>
      <w:r w:rsidRPr="00654F8F">
        <w:rPr>
          <w:snapToGrid w:val="0"/>
          <w:szCs w:val="22"/>
        </w:rPr>
        <w:t xml:space="preserve"> </w:t>
      </w:r>
      <w:r w:rsidR="005C323F">
        <w:rPr>
          <w:snapToGrid w:val="0"/>
          <w:szCs w:val="22"/>
        </w:rPr>
        <w:t>sind</w:t>
      </w:r>
      <w:r w:rsidRPr="00654F8F">
        <w:rPr>
          <w:snapToGrid w:val="0"/>
          <w:szCs w:val="22"/>
        </w:rPr>
        <w:t xml:space="preserve"> somit nicht lediglich als die Einführung einer neuen IT-Infrastruktur zu verstehen, sondern als die fundamentale Neugestaltung der Marktbearbeitung durch digitale Technologien. Dies umfasst beispielsweise den Einsatz von Big Data Analytics zur präzisen Segmentierung, die Nutzung künstlicher Intelligenz für personalisierte Kundenansprachen in Echtzeit oder die Implementierung interaktiver Plattformen zur Steigerung des Kundenengagements.</w:t>
      </w:r>
    </w:p>
    <w:p w14:paraId="4582B9E8" w14:textId="77777777" w:rsidR="00DC39F0" w:rsidRPr="00654F8F" w:rsidRDefault="00DC39F0" w:rsidP="00654F8F">
      <w:pPr>
        <w:tabs>
          <w:tab w:val="left" w:pos="567"/>
        </w:tabs>
        <w:rPr>
          <w:snapToGrid w:val="0"/>
          <w:szCs w:val="22"/>
        </w:rPr>
      </w:pPr>
    </w:p>
    <w:p w14:paraId="103CF8EE" w14:textId="7D7587F2" w:rsidR="00DC39F0" w:rsidRDefault="00654F8F" w:rsidP="00654F8F">
      <w:pPr>
        <w:tabs>
          <w:tab w:val="left" w:pos="567"/>
        </w:tabs>
        <w:rPr>
          <w:snapToGrid w:val="0"/>
          <w:szCs w:val="22"/>
        </w:rPr>
      </w:pPr>
      <w:r w:rsidRPr="00654F8F">
        <w:rPr>
          <w:snapToGrid w:val="0"/>
          <w:szCs w:val="22"/>
        </w:rPr>
        <w:t>Ein entscheidendes Merkmal der D</w:t>
      </w:r>
      <w:r w:rsidR="00417A1D">
        <w:rPr>
          <w:snapToGrid w:val="0"/>
          <w:szCs w:val="22"/>
        </w:rPr>
        <w:t>igitalen Marketinginnovation,</w:t>
      </w:r>
      <w:r w:rsidRPr="00654F8F">
        <w:rPr>
          <w:snapToGrid w:val="0"/>
          <w:szCs w:val="22"/>
        </w:rPr>
        <w:t xml:space="preserve"> ist ihre Fähigkeit, die traditionelle Informationsasymmetrie zwischen Anbieter und Nachfrager aufzubrechen. Während klassische Marketinginnovationen oft produktzentriert waren, fokussiert die digitale Marketinginnovation auf die Dynamik der Interaktion. Sie ermöglicht es Unternehmen, nicht nur passiv auf Marktveränderungen zu reagieren, sondern proaktiv neue digitale Ökosysteme zu schaffen. </w:t>
      </w:r>
    </w:p>
    <w:p w14:paraId="38AD6ECA" w14:textId="110F0F61" w:rsidR="00DC39F0" w:rsidRPr="00DC39F0" w:rsidRDefault="00DC39F0" w:rsidP="00DC39F0">
      <w:pPr>
        <w:pStyle w:val="berschrift3"/>
        <w:rPr>
          <w:rFonts w:ascii="Times New Roman" w:hAnsi="Times New Roman"/>
          <w:sz w:val="24"/>
        </w:rPr>
      </w:pPr>
      <w:r>
        <w:lastRenderedPageBreak/>
        <w:t>2.1.</w:t>
      </w:r>
      <w:r w:rsidR="00880A34">
        <w:t>2</w:t>
      </w:r>
      <w:r>
        <w:t xml:space="preserve"> </w:t>
      </w:r>
      <w:r w:rsidR="00880A34">
        <w:t>Unternehmenserfolg und Shareholder Value (</w:t>
      </w:r>
      <w:proofErr w:type="spellStart"/>
      <w:proofErr w:type="gramStart"/>
      <w:r w:rsidR="00880A34">
        <w:t>Tobin´s</w:t>
      </w:r>
      <w:proofErr w:type="spellEnd"/>
      <w:proofErr w:type="gramEnd"/>
      <w:r w:rsidR="00880A34">
        <w:t xml:space="preserve"> Q)</w:t>
      </w:r>
    </w:p>
    <w:p w14:paraId="2A3AF3CB" w14:textId="47CBCFC5" w:rsidR="00DC39F0" w:rsidRDefault="00DC39F0" w:rsidP="00DC39F0">
      <w:pPr>
        <w:tabs>
          <w:tab w:val="left" w:pos="567"/>
        </w:tabs>
        <w:rPr>
          <w:snapToGrid w:val="0"/>
          <w:szCs w:val="22"/>
        </w:rPr>
      </w:pPr>
      <w:r w:rsidRPr="00DC39F0">
        <w:rPr>
          <w:snapToGrid w:val="0"/>
          <w:szCs w:val="22"/>
        </w:rPr>
        <w:t xml:space="preserve">Die Bestimmung und Quantifizierung des Unternehmenserfolgs stellt eine der zentralen Herausforderungen in der Marketingforschung dar. Traditionell wurden im Marketingmanagement primär verhaltenswissenschaftliche Zielgrößen wie die Kundenzufriedenheit, die Markenbekanntheit oder das Image herangezogen, um die Wirksamkeit von Maßnahmen zu belegen. Homburg (2017) weist jedoch darauf hin, dass im Rahmen einer wertorientierten Unternehmensführung der Nachweis erbracht werden muss, wie Marketingaktivitäten letztlich zur Steigerung des finanziellen Unternehmenswertes beitragen (Homburg, 2017, S. 350). </w:t>
      </w:r>
      <w:r w:rsidR="00927482">
        <w:t xml:space="preserve">Dieser Paradigmenwechsel wird in der Literatur unter dem Begriff </w:t>
      </w:r>
      <w:r w:rsidR="00927482" w:rsidRPr="00417A1D">
        <w:rPr>
          <w:rStyle w:val="Hervorhebung"/>
          <w:i w:val="0"/>
          <w:iCs w:val="0"/>
        </w:rPr>
        <w:t xml:space="preserve">Marketing </w:t>
      </w:r>
      <w:proofErr w:type="spellStart"/>
      <w:r w:rsidR="00927482" w:rsidRPr="00417A1D">
        <w:rPr>
          <w:rStyle w:val="Hervorhebung"/>
          <w:i w:val="0"/>
          <w:iCs w:val="0"/>
        </w:rPr>
        <w:t>Accountability</w:t>
      </w:r>
      <w:proofErr w:type="spellEnd"/>
      <w:r w:rsidR="00927482" w:rsidRPr="00417A1D">
        <w:rPr>
          <w:i/>
          <w:iCs/>
        </w:rPr>
        <w:t xml:space="preserve"> </w:t>
      </w:r>
      <w:r w:rsidR="00927482">
        <w:t>gefasst, der die Notwendigkeit beschreibt, Marketinginvestitionen anhand messbarer finanzieller Wertbeiträge zu rechtfertigen (Rust et al., 2004). Entsprechend fordert dieser Ansatz Kennzahlen, die über rein operative oder kurzfristige Erfolgsmaße hinausgehen.</w:t>
      </w:r>
    </w:p>
    <w:p w14:paraId="56ACADD2" w14:textId="77777777" w:rsidR="00DC39F0" w:rsidRPr="00DC39F0" w:rsidRDefault="00DC39F0" w:rsidP="00DC39F0">
      <w:pPr>
        <w:tabs>
          <w:tab w:val="left" w:pos="567"/>
        </w:tabs>
        <w:rPr>
          <w:snapToGrid w:val="0"/>
          <w:szCs w:val="22"/>
        </w:rPr>
      </w:pPr>
    </w:p>
    <w:p w14:paraId="32A786BE" w14:textId="6C35BAB7" w:rsidR="00DC39F0" w:rsidRDefault="00DC39F0" w:rsidP="00DC39F0">
      <w:pPr>
        <w:tabs>
          <w:tab w:val="left" w:pos="567"/>
        </w:tabs>
        <w:rPr>
          <w:snapToGrid w:val="0"/>
          <w:szCs w:val="22"/>
        </w:rPr>
      </w:pPr>
      <w:r w:rsidRPr="00DC39F0">
        <w:rPr>
          <w:snapToGrid w:val="0"/>
          <w:szCs w:val="22"/>
        </w:rPr>
        <w:t>In der modernen betriebswirtschaftlichen Literatur wird Erfolg daher zunehmend über den Shareholder Value definiert. Das Ziel ist die Maximierung des langfristigen Wertes für die Anteilseigner, was durch die Generierung positiver Cashflows und die Senkung des unternehmerischen Risikos erreicht wird. Während buchhalterische Kennzahlen wie der Gewinn, der Return on Investment oder das Umsatzwachstum oft vergangenheitsorientiert sind und durch bilanzpolitische Maßnahmen verzerrt werden können, bietet der kapitalmarktorientierte Ansatz eine zukunftsorientierte Perspektive (Homburg, 2017, S. 355).</w:t>
      </w:r>
    </w:p>
    <w:p w14:paraId="2BA71706" w14:textId="77777777" w:rsidR="00DC39F0" w:rsidRPr="00DC39F0" w:rsidRDefault="00DC39F0" w:rsidP="00DC39F0">
      <w:pPr>
        <w:tabs>
          <w:tab w:val="left" w:pos="567"/>
        </w:tabs>
        <w:rPr>
          <w:snapToGrid w:val="0"/>
          <w:szCs w:val="22"/>
        </w:rPr>
      </w:pPr>
    </w:p>
    <w:p w14:paraId="5FE8F240" w14:textId="7769844D" w:rsidR="00DC39F0" w:rsidRPr="00DC39F0" w:rsidRDefault="00DC39F0" w:rsidP="00DC39F0">
      <w:pPr>
        <w:tabs>
          <w:tab w:val="left" w:pos="567"/>
        </w:tabs>
        <w:rPr>
          <w:snapToGrid w:val="0"/>
          <w:szCs w:val="22"/>
        </w:rPr>
      </w:pPr>
      <w:r w:rsidRPr="00DC39F0">
        <w:rPr>
          <w:snapToGrid w:val="0"/>
          <w:szCs w:val="22"/>
        </w:rPr>
        <w:t xml:space="preserve">Ein in der empirischen Forschung etabliertes Maß für diesen wertorientierten Erfolg ist das </w:t>
      </w:r>
      <w:proofErr w:type="spellStart"/>
      <w:proofErr w:type="gramStart"/>
      <w:r w:rsidRPr="00DC39F0">
        <w:rPr>
          <w:snapToGrid w:val="0"/>
          <w:szCs w:val="22"/>
        </w:rPr>
        <w:t>Tobin’s</w:t>
      </w:r>
      <w:proofErr w:type="spellEnd"/>
      <w:proofErr w:type="gramEnd"/>
      <w:r w:rsidRPr="00DC39F0">
        <w:rPr>
          <w:snapToGrid w:val="0"/>
          <w:szCs w:val="22"/>
        </w:rPr>
        <w:t xml:space="preserve"> Q, welches auch in der Untersuchung von Jung und </w:t>
      </w:r>
      <w:proofErr w:type="spellStart"/>
      <w:r w:rsidRPr="00DC39F0">
        <w:rPr>
          <w:snapToGrid w:val="0"/>
          <w:szCs w:val="22"/>
        </w:rPr>
        <w:t>Shegai</w:t>
      </w:r>
      <w:proofErr w:type="spellEnd"/>
      <w:r w:rsidRPr="00DC39F0">
        <w:rPr>
          <w:snapToGrid w:val="0"/>
          <w:szCs w:val="22"/>
        </w:rPr>
        <w:t xml:space="preserve"> (2023) als zentrale abhängige Variable fungiert. </w:t>
      </w:r>
      <w:proofErr w:type="spellStart"/>
      <w:proofErr w:type="gramStart"/>
      <w:r w:rsidRPr="00DC39F0">
        <w:rPr>
          <w:snapToGrid w:val="0"/>
          <w:szCs w:val="22"/>
        </w:rPr>
        <w:t>Tobin’s</w:t>
      </w:r>
      <w:proofErr w:type="spellEnd"/>
      <w:proofErr w:type="gramEnd"/>
      <w:r w:rsidRPr="00DC39F0">
        <w:rPr>
          <w:snapToGrid w:val="0"/>
          <w:szCs w:val="22"/>
        </w:rPr>
        <w:t xml:space="preserve"> Q beschreibt das Verhältnis zwischen dem Marktwert eines Unternehmens und dem Wiederbeschaffungswert seiner physischen Vermögenswerte</w:t>
      </w:r>
      <w:r w:rsidR="00417A1D">
        <w:rPr>
          <w:snapToGrid w:val="0"/>
          <w:szCs w:val="22"/>
        </w:rPr>
        <w:t xml:space="preserve">. </w:t>
      </w:r>
      <w:r w:rsidRPr="00DC39F0">
        <w:rPr>
          <w:snapToGrid w:val="0"/>
          <w:szCs w:val="22"/>
        </w:rPr>
        <w:t>Mathematisch ausgedrückt signalisiert ein Wert von über 1,0, dass der Markt dem Unternehmen einen Wert beimisst, der die Summe seiner physischen Anlagen übersteigt. Dieser Differenzbetrag repräsentiert den Wert der immateriellen Vermögenswerte</w:t>
      </w:r>
      <w:r w:rsidR="00417A1D">
        <w:rPr>
          <w:snapToGrid w:val="0"/>
          <w:szCs w:val="22"/>
        </w:rPr>
        <w:t xml:space="preserve">. </w:t>
      </w:r>
    </w:p>
    <w:p w14:paraId="06A2692E" w14:textId="77777777" w:rsidR="00DC39F0" w:rsidRDefault="00DC39F0" w:rsidP="00DC39F0">
      <w:pPr>
        <w:tabs>
          <w:tab w:val="left" w:pos="567"/>
        </w:tabs>
        <w:rPr>
          <w:snapToGrid w:val="0"/>
          <w:szCs w:val="22"/>
        </w:rPr>
      </w:pPr>
      <w:r w:rsidRPr="00DC39F0">
        <w:rPr>
          <w:snapToGrid w:val="0"/>
          <w:szCs w:val="22"/>
        </w:rPr>
        <w:t xml:space="preserve">Für die Bewertung digitaler Marketinginnovationen ist </w:t>
      </w:r>
      <w:proofErr w:type="spellStart"/>
      <w:proofErr w:type="gramStart"/>
      <w:r w:rsidRPr="00DC39F0">
        <w:rPr>
          <w:snapToGrid w:val="0"/>
          <w:szCs w:val="22"/>
        </w:rPr>
        <w:t>Tobin’s</w:t>
      </w:r>
      <w:proofErr w:type="spellEnd"/>
      <w:proofErr w:type="gramEnd"/>
      <w:r w:rsidRPr="00DC39F0">
        <w:rPr>
          <w:snapToGrid w:val="0"/>
          <w:szCs w:val="22"/>
        </w:rPr>
        <w:t xml:space="preserve"> Q aus zwei Gründen besonders relevant:</w:t>
      </w:r>
    </w:p>
    <w:p w14:paraId="40D00D7E" w14:textId="77777777" w:rsidR="00DC39F0" w:rsidRPr="00DC39F0" w:rsidRDefault="00DC39F0" w:rsidP="00DC39F0">
      <w:pPr>
        <w:tabs>
          <w:tab w:val="left" w:pos="567"/>
        </w:tabs>
        <w:rPr>
          <w:snapToGrid w:val="0"/>
          <w:szCs w:val="22"/>
        </w:rPr>
      </w:pPr>
    </w:p>
    <w:p w14:paraId="1FA9BAB7" w14:textId="5D82A422" w:rsidR="00DC39F0" w:rsidRDefault="00DC39F0" w:rsidP="00DC39F0">
      <w:pPr>
        <w:tabs>
          <w:tab w:val="left" w:pos="567"/>
        </w:tabs>
        <w:rPr>
          <w:snapToGrid w:val="0"/>
          <w:szCs w:val="22"/>
        </w:rPr>
      </w:pPr>
      <w:r w:rsidRPr="00DC39F0">
        <w:rPr>
          <w:b/>
          <w:bCs/>
          <w:snapToGrid w:val="0"/>
          <w:szCs w:val="22"/>
        </w:rPr>
        <w:t>Abbildung immaterieller Werte:</w:t>
      </w:r>
      <w:r w:rsidRPr="00DC39F0">
        <w:rPr>
          <w:snapToGrid w:val="0"/>
          <w:szCs w:val="22"/>
        </w:rPr>
        <w:t xml:space="preserve"> Da Marketinginnovationen und die daraus resultierenden Kundenbeziehungen oder Datenbestände immaterielle Ressourcen sind, lassen sie sich kaum in einer klassischen Bilanz erfassen. </w:t>
      </w:r>
      <w:proofErr w:type="spellStart"/>
      <w:proofErr w:type="gramStart"/>
      <w:r w:rsidRPr="00DC39F0">
        <w:rPr>
          <w:snapToGrid w:val="0"/>
          <w:szCs w:val="22"/>
        </w:rPr>
        <w:t>Tobin’s</w:t>
      </w:r>
      <w:proofErr w:type="spellEnd"/>
      <w:proofErr w:type="gramEnd"/>
      <w:r w:rsidRPr="00DC39F0">
        <w:rPr>
          <w:snapToGrid w:val="0"/>
          <w:szCs w:val="22"/>
        </w:rPr>
        <w:t xml:space="preserve"> Q macht diesen „unsichtbaren“ Wert am Kapitalmarkt sichtbar.</w:t>
      </w:r>
    </w:p>
    <w:p w14:paraId="587EB131" w14:textId="77777777" w:rsidR="00DC39F0" w:rsidRPr="00DC39F0" w:rsidRDefault="00DC39F0" w:rsidP="00DC39F0">
      <w:pPr>
        <w:tabs>
          <w:tab w:val="left" w:pos="567"/>
        </w:tabs>
        <w:rPr>
          <w:snapToGrid w:val="0"/>
          <w:szCs w:val="22"/>
        </w:rPr>
      </w:pPr>
    </w:p>
    <w:p w14:paraId="0500DE94" w14:textId="0D6798EE" w:rsidR="00DC39F0" w:rsidRDefault="00DC39F0" w:rsidP="00DC39F0">
      <w:pPr>
        <w:tabs>
          <w:tab w:val="left" w:pos="567"/>
        </w:tabs>
        <w:rPr>
          <w:snapToGrid w:val="0"/>
          <w:szCs w:val="22"/>
        </w:rPr>
      </w:pPr>
      <w:r w:rsidRPr="00DC39F0">
        <w:rPr>
          <w:b/>
          <w:bCs/>
          <w:snapToGrid w:val="0"/>
          <w:szCs w:val="22"/>
        </w:rPr>
        <w:t>Zukunftsorientierung:</w:t>
      </w:r>
      <w:r w:rsidRPr="00DC39F0">
        <w:rPr>
          <w:snapToGrid w:val="0"/>
          <w:szCs w:val="22"/>
        </w:rPr>
        <w:t xml:space="preserve"> Im Gegensatz zum Nettogewinn spiegelt der Marktwert die Erwartungen der Investoren an die zukünftige Ertragskraft wider. Da Investitionen in digitale Transformationen oft hohe Vorabkosten verursachen und sich die Erträge erst zeitversetzt einstellen, ist eine zukunftsorientierte Kennzahl notwendig, um den tatsächlichen Erfolg der Innovation abzubilden (Jung &amp; </w:t>
      </w:r>
      <w:proofErr w:type="spellStart"/>
      <w:r w:rsidRPr="00DC39F0">
        <w:rPr>
          <w:snapToGrid w:val="0"/>
          <w:szCs w:val="22"/>
        </w:rPr>
        <w:t>Shegai</w:t>
      </w:r>
      <w:proofErr w:type="spellEnd"/>
      <w:r w:rsidRPr="00DC39F0">
        <w:rPr>
          <w:snapToGrid w:val="0"/>
          <w:szCs w:val="22"/>
        </w:rPr>
        <w:t>, 2023, S. 4).</w:t>
      </w:r>
    </w:p>
    <w:p w14:paraId="112220C1" w14:textId="77777777" w:rsidR="00DC39F0" w:rsidRPr="00DC39F0" w:rsidRDefault="00DC39F0" w:rsidP="00DC39F0">
      <w:pPr>
        <w:tabs>
          <w:tab w:val="left" w:pos="567"/>
        </w:tabs>
        <w:rPr>
          <w:snapToGrid w:val="0"/>
          <w:szCs w:val="22"/>
        </w:rPr>
      </w:pPr>
    </w:p>
    <w:p w14:paraId="6282E12B" w14:textId="77777777" w:rsidR="00DC39F0" w:rsidRPr="00DC39F0" w:rsidRDefault="00DC39F0" w:rsidP="00DC39F0">
      <w:pPr>
        <w:tabs>
          <w:tab w:val="left" w:pos="567"/>
        </w:tabs>
        <w:rPr>
          <w:snapToGrid w:val="0"/>
          <w:szCs w:val="22"/>
        </w:rPr>
      </w:pPr>
      <w:r w:rsidRPr="00DC39F0">
        <w:rPr>
          <w:snapToGrid w:val="0"/>
          <w:szCs w:val="22"/>
        </w:rPr>
        <w:t xml:space="preserve">Zusammenfassend lässt sich festhalten, dass der Unternehmenserfolg in dieser Arbeit nicht als kurzfristige Gewinnmaximierung, sondern als nachhaltige Steigerung des Marktwertes begriffen wird. </w:t>
      </w:r>
      <w:proofErr w:type="spellStart"/>
      <w:proofErr w:type="gramStart"/>
      <w:r w:rsidRPr="00DC39F0">
        <w:rPr>
          <w:snapToGrid w:val="0"/>
          <w:szCs w:val="22"/>
        </w:rPr>
        <w:t>Tobin’s</w:t>
      </w:r>
      <w:proofErr w:type="spellEnd"/>
      <w:proofErr w:type="gramEnd"/>
      <w:r w:rsidRPr="00DC39F0">
        <w:rPr>
          <w:snapToGrid w:val="0"/>
          <w:szCs w:val="22"/>
        </w:rPr>
        <w:t xml:space="preserve"> Q dient dabei als objektiver Indikator für die Effektivität, mit der ein Unternehmen seine digitalen Ressourcen in ökonomisches Rentenpotenzial transformiert.</w:t>
      </w:r>
    </w:p>
    <w:p w14:paraId="72A17FB6" w14:textId="77777777" w:rsidR="00DC39F0" w:rsidRDefault="00DC39F0" w:rsidP="00654F8F">
      <w:pPr>
        <w:tabs>
          <w:tab w:val="left" w:pos="567"/>
        </w:tabs>
        <w:rPr>
          <w:snapToGrid w:val="0"/>
          <w:szCs w:val="22"/>
        </w:rPr>
      </w:pPr>
    </w:p>
    <w:p w14:paraId="2E1F1AE5" w14:textId="0413812A" w:rsidR="00880A34" w:rsidRDefault="00880A34" w:rsidP="00880A34">
      <w:pPr>
        <w:pStyle w:val="berschrift3"/>
      </w:pPr>
      <w:r>
        <w:t>2.1.3 Abgrenzung traditioneller und digitaler Marketingansätze</w:t>
      </w:r>
    </w:p>
    <w:p w14:paraId="20207586" w14:textId="64BFE4D0" w:rsidR="00880A34" w:rsidRDefault="00880A34" w:rsidP="00880A34">
      <w:r>
        <w:t xml:space="preserve">Um die Relevanz digitaler Marketinginnovationen (DMI) für den Unternehmenserfolg vollständig zu durchdringen, ist eine scharfe Abgrenzung zu traditionellen Marketingansätzen </w:t>
      </w:r>
      <w:r w:rsidR="00417A1D">
        <w:t>wichtig</w:t>
      </w:r>
      <w:r>
        <w:t>. Während das klassische Marketing, oft auf einer produktzentrierten „Push-Logik“ basiert, folgt das digitale Marketing einer kundenzentrierten „Pull-“ oder „Engagement-Logik“.</w:t>
      </w:r>
    </w:p>
    <w:p w14:paraId="184958E5" w14:textId="77777777" w:rsidR="00880A34" w:rsidRDefault="00880A34" w:rsidP="00880A34"/>
    <w:p w14:paraId="50E3FA0B" w14:textId="51E4E581" w:rsidR="00880A34" w:rsidRDefault="00880A34" w:rsidP="00880A34">
      <w:r>
        <w:t>Ein wesentliches Unterscheidungsmerkmal liegt in der Richtung und Dynamik des Informationsflusses. Traditionelle Marketinginstrumente – wie TV-Werbung, Printanzeigen oder klassische Außenwerbung – sind durch eine unidirektionale Kommunikation geprägt. Das Unternehmen sendet eine standardisierte Botschaft an ein weitgehend passives Publikum, wobei die Rückkopplungskanäle</w:t>
      </w:r>
      <w:r w:rsidR="00417A1D">
        <w:t xml:space="preserve"> </w:t>
      </w:r>
      <w:r>
        <w:t xml:space="preserve">zeitverzögert und oft nur </w:t>
      </w:r>
      <w:r w:rsidR="00417A1D">
        <w:t>bedingt</w:t>
      </w:r>
      <w:r>
        <w:t xml:space="preserve"> zur Verfügung stehen. Im Gegensatz dazu zeichnet sich das digitale Marketing durch Interaktivität und Konnektivität aus. Digitale Plattformen ermöglichen eine bidirektionale oder sogar multidirektionale </w:t>
      </w:r>
      <w:r>
        <w:lastRenderedPageBreak/>
        <w:t>Kommunikation</w:t>
      </w:r>
      <w:r w:rsidR="00417A1D">
        <w:t xml:space="preserve">, </w:t>
      </w:r>
      <w:r>
        <w:t xml:space="preserve">bei der Kunden aktiv an der Wertschöpfung und Markenbildung teilnehmen (Jung &amp; </w:t>
      </w:r>
      <w:proofErr w:type="spellStart"/>
      <w:r>
        <w:t>Shegai</w:t>
      </w:r>
      <w:proofErr w:type="spellEnd"/>
      <w:r>
        <w:t>, 2023).</w:t>
      </w:r>
    </w:p>
    <w:p w14:paraId="54FC6252" w14:textId="77777777" w:rsidR="00880A34" w:rsidRDefault="00880A34" w:rsidP="00880A34"/>
    <w:p w14:paraId="7154B3F6" w14:textId="60FEC71D" w:rsidR="00880A34" w:rsidRDefault="00880A34" w:rsidP="00880A34">
      <w:r>
        <w:t xml:space="preserve">Ein weiterer struktureller Unterschied betrifft die Datengranularität und die Reaktionsgeschwindigkeit. Homburg (2017) betont, dass traditionelle Marketingentscheidungen oft auf stabilen Marktsegmenten beruhen, die über längere Zeiträume beobachtet werden. Das digitale Marketing hingegen operiert in einer </w:t>
      </w:r>
      <w:r w:rsidR="00417A1D">
        <w:t xml:space="preserve">Echtzeit-Umgebung. </w:t>
      </w:r>
      <w:r>
        <w:t>Durch die Verfügbarkeit von Verhaltensdaten in Echtzeit</w:t>
      </w:r>
      <w:r w:rsidR="00417A1D">
        <w:t>, zum Beispiel</w:t>
      </w:r>
      <w:r>
        <w:t xml:space="preserve"> Klickpfade, Verweildauern</w:t>
      </w:r>
      <w:r w:rsidR="00417A1D">
        <w:t xml:space="preserve"> und </w:t>
      </w:r>
      <w:r>
        <w:t>Interaktionsraten</w:t>
      </w:r>
      <w:r w:rsidR="00417A1D">
        <w:t>,</w:t>
      </w:r>
      <w:r>
        <w:t xml:space="preserve"> können Unternehmen ihre Maßnahmen nicht nur auf Segmente, sondern auf der Ebene des individuellen Nutzers personalisieren. Diese Form der Hyper-Personalisierung wäre mit traditionellen analogen Mitteln ökonomisch nicht darstellbar gewesen.</w:t>
      </w:r>
    </w:p>
    <w:p w14:paraId="7000F176" w14:textId="6367366B" w:rsidR="00880A34" w:rsidRDefault="00880A34" w:rsidP="00880A34">
      <w:r>
        <w:t>Zudem hat sich die Rolle des Konsumenten gewandelt. In traditionellen Modellen wurde der Kunde primär als Zielobjekt von Werbebotschaften betrachtet. Durch digitale Innovationen wird er jedoch zum aktiven Partner innerhalb digitaler Ökosysteme.</w:t>
      </w:r>
    </w:p>
    <w:p w14:paraId="6F3C2D75" w14:textId="77777777" w:rsidR="00880A34" w:rsidRDefault="00880A34" w:rsidP="00880A34"/>
    <w:p w14:paraId="7AE3346A" w14:textId="72A8C96D" w:rsidR="00880A34" w:rsidRDefault="00880A34" w:rsidP="00880A34">
      <w:r>
        <w:t xml:space="preserve">Wissenschaftlich führt diese Abgrenzung zu der Erkenntnis, dass digitale Marketinginnovationen eine völlig neue Form der organisationalen Befähigung erfordern. Während für das traditionelle Marketing primär kreative und planerische Kompetenzen im Vordergrund standen, verlangt das digitale Umfeld nach einer Symbiose aus technologischer Agilität, analytischer Exzellenz und der Fähigkeit zur schnellen Prozessanpassung. Diese Differenzierung bildet die notwendige Überleitung zum nächsten Hauptkapitel, in dem untersucht wird, warum genau diese neuen digitalen Ressourcen im Sinne des </w:t>
      </w:r>
      <w:proofErr w:type="spellStart"/>
      <w:r>
        <w:t>Resource-based</w:t>
      </w:r>
      <w:proofErr w:type="spellEnd"/>
      <w:r>
        <w:t xml:space="preserve"> View als strategische Kernkompetenzen einzustufen sind.</w:t>
      </w:r>
    </w:p>
    <w:p w14:paraId="3E28031F" w14:textId="77777777" w:rsidR="00F6374F" w:rsidRDefault="00F6374F" w:rsidP="00880A34"/>
    <w:p w14:paraId="4AB2DE63" w14:textId="4160F51A" w:rsidR="00F6374F" w:rsidRDefault="00F6374F" w:rsidP="00F6374F">
      <w:r w:rsidRPr="00F6374F">
        <w:rPr>
          <w:highlight w:val="yellow"/>
        </w:rPr>
        <w:t>NEU aus der PDF</w:t>
      </w:r>
      <w:r>
        <w:br/>
        <w:t xml:space="preserve">Unter traditionellem Marketing versteht man die eher klassischen Marketingmethoden, die seit Jahrzehnten zum Einsatz kommen, wie Fernsehwerbung, Printanzeigen, Plakatwerbung und Radiospots. Diese Methoden zielen in der Regel darauf ab, ein breites Publikum in einem bestimmten geografischen Gebiet oder einer bestimmten demografischen Gruppe anzusprechen [20]. Digitales Marketing hingegen bezeichnet Marketingmethoden, die auf digitalen Technologien basieren, wie soziale Medien, E-Mail-Marketing, Suchmaschinenoptimierung (SEO) und bezahlte Online-Werbung. Diese </w:t>
      </w:r>
      <w:r>
        <w:lastRenderedPageBreak/>
        <w:t>Methoden sind oft zielgerichteter und können bestimmte Zielgruppen anhand ihrer Interessen, ihres Verhaltens oder ihres geografischen Standorts erreichen [20,21]. Während traditionelle Marketingmethoden nach wie vor wirksam sein können, hat das digitale Marketing in der heutigen Welt aufgrund des technologischen Fortschritts und des Internets zunehmend an Beliebtheit und Bedeutung gewonnen [22]. Digitales Marketing ermöglicht es Unternehmen, ein breiteres</w:t>
      </w:r>
    </w:p>
    <w:p w14:paraId="4B0A647D" w14:textId="64D1B3C8" w:rsidR="00F6374F" w:rsidRDefault="00F6374F" w:rsidP="00F6374F">
      <w:r>
        <w:t xml:space="preserve">Publikum zu erreichen, ihre Marketingmaßnahmen zu messen und ihre Strategien auf der Grundlage datengestützter Erkenntnisse anzupassen [23]. Es kann eine kosteneffiziente Möglichkeit zur Vermarktung von Produkten und Dienstleistungen sein und bietet im Vergleich zu traditionellen Marketingmethoden das Potenzial für einen höheren ROI [24,25]. Darüber hinaus sind soziale Medien heutzutage ein Schlüsselelement der Marketingstrategien von Unternehmen. Es besteht ein starker Zusammenhang zwischen der Nutzung sozialer Medien durch Kunden und ihrer Markentreue; eine intensive Nutzung führt zu einer höheren Treue. Darüber hinaus führt eine höhere Treue zu einer besseren Umsatzleistung [26]. </w:t>
      </w:r>
      <w:r w:rsidRPr="00F6374F">
        <w:t>Pollák und Marković kommen in ihrer Studie jedoch zu dem Schluss, dass die meisten Unternehmen noch nicht bereit sind, in Marketingkommunikation auf der Grundlage des digitalen Marketings zu investieren, da dieses von vielen Firmen nach wie vor als Ergänzung zum traditionellen Marketing angesehen wird [27]</w:t>
      </w:r>
    </w:p>
    <w:p w14:paraId="363A2166" w14:textId="77777777" w:rsidR="00F6374F" w:rsidRDefault="00F6374F" w:rsidP="00F6374F"/>
    <w:p w14:paraId="1D98D247" w14:textId="77777777" w:rsidR="00F6374F" w:rsidRDefault="00F6374F" w:rsidP="00F6374F"/>
    <w:p w14:paraId="0AC79F66" w14:textId="77777777" w:rsidR="00F6374F" w:rsidRPr="00654F8F" w:rsidRDefault="00F6374F" w:rsidP="00F6374F">
      <w:pPr>
        <w:pStyle w:val="berschrift3"/>
        <w:rPr>
          <w:snapToGrid w:val="0"/>
        </w:rPr>
      </w:pPr>
      <w:r>
        <w:rPr>
          <w:snapToGrid w:val="0"/>
        </w:rPr>
        <w:t xml:space="preserve">2.1.4 </w:t>
      </w:r>
      <w:proofErr w:type="gramStart"/>
      <w:r>
        <w:rPr>
          <w:snapToGrid w:val="0"/>
        </w:rPr>
        <w:t>Marketing Innovation</w:t>
      </w:r>
      <w:proofErr w:type="gramEnd"/>
    </w:p>
    <w:p w14:paraId="664D8B83" w14:textId="5B7B4CE2" w:rsidR="00F6374F" w:rsidRPr="00F6374F" w:rsidRDefault="00F6374F" w:rsidP="00F6374F">
      <w:r w:rsidRPr="00F6374F">
        <w:t xml:space="preserve">Innovation wird definiert als der Prozess der Einführung neuer Ideen, Produkte oder Methoden zur Verbesserung eines bestehenden Systems oder zur Schaffung eines neuen Systems [28]. Dabei werden Kreativität und Problemlösungsfähigkeiten eingesetzt, um neuartige Lösungen zu entwickeln, die den sich wandelnden Bedürfnissen der Gesellschaft gerecht werden [29]. Es gibt verschiedene Arten von Innovation. Marketinginnovation ist die Einführung einer neuen Methode zur Werbung, Bewertung oder zum Verkauf von Waren/Dienstleistungen oder die Vornahme wesentlicher Änderungen am ästhetischen Design oder an der Verpackung von Waren [30]. Digitales Marketing ist einer der wichtigsten Innovationstreiber, der zu Wettbewerbsfähigkeit und Wachstum von Unternehmen führt [31,32]. Da immer mehr Verbraucher digitale Kanäle nutzen, um Produkte und Dienstleistungen zu recherchieren und zu </w:t>
      </w:r>
      <w:r w:rsidRPr="00F6374F">
        <w:lastRenderedPageBreak/>
        <w:t xml:space="preserve">kaufen, müssen Unternehmen digitales Marketing nutzen, um auf dem heutigen Markt relevant und wettbewerbsfähig zu bleiben. In Korea, einem von starkem Wettbewerb geprägten Umfeld, haben Verbraucher eine große Auswahl an Alternativen, um ihre Bedürfnisse zu erfüllen [33]. </w:t>
      </w:r>
    </w:p>
    <w:p w14:paraId="20AB7026" w14:textId="77777777" w:rsidR="00F6374F" w:rsidRDefault="00F6374F" w:rsidP="00F6374F"/>
    <w:p w14:paraId="0EB429D7" w14:textId="55B0404E" w:rsidR="00F6374F" w:rsidRPr="00F6374F" w:rsidRDefault="00F6374F" w:rsidP="00F6374F">
      <w:r w:rsidRPr="00F6374F">
        <w:t xml:space="preserve">Um erfolgreich zu sein, benötigen Unternehmen heute leistungsfähige Marketing-Managementsysteme, die die Einführung neuer Produkte, wirksame Werbemaßnahmen und eine stärkere Kundenbindung umfassen, um Kunden zu gewinnen, deren Zufriedenheit zu sichern und so Gewinne zu erzielen [33]. Frühere Untersuchungen haben wiederholt gezeigt, dass Innovation einen positiven Einfluss auf verschiedene Aspekte der Unternehmensleistung hat, indem sie die Kundenzufriedenheit [34], die Produktionsgeschwindigkeit [35] sowie Wachstum und Effizienz steigert, wie eine Studie mit 1000 Fortune-Unternehmen [36] zeigt, während andere Studien einen Anstieg des Umsatzes, der internen Effizienz und eine Senkung der Produktionskosten feststellten [37,38]. Empirische Untersuchungen zu Marketinginnovationen haben zudem durchweg gezeigt, dass diese einen positiven Einfluss auf die Unternehmensleistung in Bezug auf Umsatzwachstum, Gewinn, Cashflow und Shareholder Value haben [39–41]. Chung et al. wiesen in ihrer Studie über die 100 führenden koreanischen Unternehmen nach, dass ein Unternehmen durch großen Einsatz im </w:t>
      </w:r>
      <w:proofErr w:type="spellStart"/>
      <w:r w:rsidRPr="00F6374F">
        <w:t>Social</w:t>
      </w:r>
      <w:proofErr w:type="spellEnd"/>
      <w:r w:rsidRPr="00F6374F">
        <w:t>-Media-Management eine hohe finanzielle Performance erzielt [42]. Marketinginnovationen wirken sich positiv auf die Unternehmensleistung aus, da sie dem Unternehmen eine profitablere Wettbewerbsposition auf dem Markt verschaffen können [43], und die durch Marketinginnovationen erzielte wirtschaftliche Effizienz stellt einen nachhaltigen Wettbewerbsvorteil dar, der zur Produktdifferenzierung und zu einem erhöhten Konsum beiträgt [44].</w:t>
      </w:r>
    </w:p>
    <w:p w14:paraId="0D936BB2" w14:textId="77777777" w:rsidR="00F6374F" w:rsidRDefault="00F6374F" w:rsidP="00F6374F"/>
    <w:p w14:paraId="33B47C1A" w14:textId="77777777" w:rsidR="00841FCE" w:rsidRDefault="00841FCE" w:rsidP="00841FCE"/>
    <w:p w14:paraId="2E09C3A5" w14:textId="01359E50" w:rsidR="00841FCE" w:rsidRDefault="00841FCE" w:rsidP="00841FCE">
      <w:pPr>
        <w:pStyle w:val="berschrift2"/>
        <w:tabs>
          <w:tab w:val="clear" w:pos="567"/>
          <w:tab w:val="left" w:pos="426"/>
        </w:tabs>
        <w:ind w:left="426" w:hanging="426"/>
      </w:pPr>
      <w:bookmarkStart w:id="5" w:name="_Toc212726433"/>
      <w:r>
        <w:t xml:space="preserve">2.2 </w:t>
      </w:r>
      <w:bookmarkEnd w:id="5"/>
      <w:r w:rsidR="0076035A">
        <w:t xml:space="preserve">Der </w:t>
      </w:r>
      <w:proofErr w:type="spellStart"/>
      <w:r w:rsidR="0076035A">
        <w:t>Resource-based</w:t>
      </w:r>
      <w:proofErr w:type="spellEnd"/>
      <w:r w:rsidR="0076035A">
        <w:t xml:space="preserve"> View (RBV) als Erklärungsmodell</w:t>
      </w:r>
    </w:p>
    <w:p w14:paraId="5F02DD57" w14:textId="30E55B65" w:rsidR="00841FCE" w:rsidRDefault="0076035A" w:rsidP="00841FCE">
      <w:pPr>
        <w:tabs>
          <w:tab w:val="left" w:pos="567"/>
        </w:tabs>
      </w:pPr>
      <w:r>
        <w:t xml:space="preserve">Nachdem die terminologischen Grundlagen gelegt wurden, erfolgt nun die Einbettung der Forschungsfrage in den theoretischen Rahmen des </w:t>
      </w:r>
      <w:proofErr w:type="spellStart"/>
      <w:r>
        <w:t>Resource-based</w:t>
      </w:r>
      <w:proofErr w:type="spellEnd"/>
      <w:r>
        <w:t xml:space="preserve"> View (RBV). Dieser Ansatz dient als „theoretische Brille“, um zu erklären, warum interne Faktoren eines Unternehmens – wie eben digitale </w:t>
      </w:r>
      <w:r>
        <w:lastRenderedPageBreak/>
        <w:t>Marketinginnovationen – die primäre Quelle für ökonomische Renten und Marktwertsteigerungen sind.</w:t>
      </w:r>
    </w:p>
    <w:p w14:paraId="53C709BC" w14:textId="72F5E76F" w:rsidR="00AC2A16" w:rsidRPr="00AC2A16" w:rsidRDefault="00AC2A16" w:rsidP="00AC2A16">
      <w:pPr>
        <w:tabs>
          <w:tab w:val="left" w:pos="567"/>
        </w:tabs>
        <w:rPr>
          <w:snapToGrid w:val="0"/>
          <w:szCs w:val="22"/>
        </w:rPr>
      </w:pPr>
      <w:r w:rsidRPr="00AC2A16">
        <w:rPr>
          <w:snapToGrid w:val="0"/>
          <w:szCs w:val="22"/>
        </w:rPr>
        <w:t xml:space="preserve">Der </w:t>
      </w:r>
      <w:proofErr w:type="spellStart"/>
      <w:r w:rsidRPr="00AC2A16">
        <w:rPr>
          <w:snapToGrid w:val="0"/>
          <w:szCs w:val="22"/>
        </w:rPr>
        <w:t>Resource-based</w:t>
      </w:r>
      <w:proofErr w:type="spellEnd"/>
      <w:r w:rsidRPr="00AC2A16">
        <w:rPr>
          <w:snapToGrid w:val="0"/>
          <w:szCs w:val="22"/>
        </w:rPr>
        <w:t xml:space="preserve"> View (RBV) ist ein zentrales Theoriekonzept der strategischen Managementforschung, </w:t>
      </w:r>
      <w:proofErr w:type="gramStart"/>
      <w:r w:rsidRPr="00AC2A16">
        <w:rPr>
          <w:snapToGrid w:val="0"/>
          <w:szCs w:val="22"/>
        </w:rPr>
        <w:t>das</w:t>
      </w:r>
      <w:proofErr w:type="gramEnd"/>
      <w:r w:rsidRPr="00AC2A16">
        <w:rPr>
          <w:snapToGrid w:val="0"/>
          <w:szCs w:val="22"/>
        </w:rPr>
        <w:t xml:space="preserve"> die internen Ressourcen eines Unternehmens als primäre Quelle nachhaltiger Wettbewerbsvorteile betrachtet (Wernerfelt, 1984; Barney, 1991). Im Gegensatz zu marktorientierten Ansätzen, die externe Branchenstrukturen in den Vordergrund stellen, erklärt der </w:t>
      </w:r>
      <w:proofErr w:type="gramStart"/>
      <w:r w:rsidRPr="00AC2A16">
        <w:rPr>
          <w:snapToGrid w:val="0"/>
          <w:szCs w:val="22"/>
        </w:rPr>
        <w:t>RBV Leistungsunterschiede</w:t>
      </w:r>
      <w:proofErr w:type="gramEnd"/>
      <w:r w:rsidRPr="00AC2A16">
        <w:rPr>
          <w:snapToGrid w:val="0"/>
          <w:szCs w:val="22"/>
        </w:rPr>
        <w:t xml:space="preserve"> zwischen Unternehmen durch deren heterogene Ressourcenausstattung.</w:t>
      </w:r>
    </w:p>
    <w:p w14:paraId="15CD5E78" w14:textId="77777777" w:rsidR="00AC2A16" w:rsidRPr="00AC2A16" w:rsidRDefault="00AC2A16" w:rsidP="00AC2A16">
      <w:pPr>
        <w:tabs>
          <w:tab w:val="left" w:pos="567"/>
        </w:tabs>
        <w:rPr>
          <w:snapToGrid w:val="0"/>
          <w:szCs w:val="22"/>
        </w:rPr>
      </w:pPr>
      <w:r w:rsidRPr="00AC2A16">
        <w:rPr>
          <w:snapToGrid w:val="0"/>
          <w:szCs w:val="22"/>
        </w:rPr>
        <w:t>Nach Barney (1991) müssen Ressourcen vier Kriterien erfüllen, um einen nachhaltigen Wettbewerbsvorteil zu begründen – zusammengefasst im VRIN-Framework: Sie müssen wertvoll (</w:t>
      </w:r>
      <w:proofErr w:type="spellStart"/>
      <w:r w:rsidRPr="00AC2A16">
        <w:rPr>
          <w:i/>
          <w:iCs/>
          <w:snapToGrid w:val="0"/>
          <w:szCs w:val="22"/>
        </w:rPr>
        <w:t>valuable</w:t>
      </w:r>
      <w:proofErr w:type="spellEnd"/>
      <w:r w:rsidRPr="00AC2A16">
        <w:rPr>
          <w:snapToGrid w:val="0"/>
          <w:szCs w:val="22"/>
        </w:rPr>
        <w:t>) sein, um Chancen zu nutzen oder Bedrohungen abzuwenden; selten (</w:t>
      </w:r>
      <w:r w:rsidRPr="00AC2A16">
        <w:rPr>
          <w:i/>
          <w:iCs/>
          <w:snapToGrid w:val="0"/>
          <w:szCs w:val="22"/>
        </w:rPr>
        <w:t>rare</w:t>
      </w:r>
      <w:r w:rsidRPr="00AC2A16">
        <w:rPr>
          <w:snapToGrid w:val="0"/>
          <w:szCs w:val="22"/>
        </w:rPr>
        <w:t>) unter Wettbewerbern; schwer imitierbar (</w:t>
      </w:r>
      <w:proofErr w:type="spellStart"/>
      <w:r w:rsidRPr="00AC2A16">
        <w:rPr>
          <w:i/>
          <w:iCs/>
          <w:snapToGrid w:val="0"/>
          <w:szCs w:val="22"/>
        </w:rPr>
        <w:t>inimitable</w:t>
      </w:r>
      <w:proofErr w:type="spellEnd"/>
      <w:r w:rsidRPr="00AC2A16">
        <w:rPr>
          <w:snapToGrid w:val="0"/>
          <w:szCs w:val="22"/>
        </w:rPr>
        <w:t>) aufgrund historischer Pfadabhängigkeiten oder sozialer Komplexität; sowie nicht substituierbar (</w:t>
      </w:r>
      <w:r w:rsidRPr="00AC2A16">
        <w:rPr>
          <w:i/>
          <w:iCs/>
          <w:snapToGrid w:val="0"/>
          <w:szCs w:val="22"/>
        </w:rPr>
        <w:t>non-</w:t>
      </w:r>
      <w:proofErr w:type="spellStart"/>
      <w:r w:rsidRPr="00AC2A16">
        <w:rPr>
          <w:i/>
          <w:iCs/>
          <w:snapToGrid w:val="0"/>
          <w:szCs w:val="22"/>
        </w:rPr>
        <w:t>substitutable</w:t>
      </w:r>
      <w:proofErr w:type="spellEnd"/>
      <w:r w:rsidRPr="00AC2A16">
        <w:rPr>
          <w:snapToGrid w:val="0"/>
          <w:szCs w:val="22"/>
        </w:rPr>
        <w:t>) durch gleichwertige Alternativen.</w:t>
      </w:r>
    </w:p>
    <w:p w14:paraId="02ADEE06" w14:textId="77777777" w:rsidR="00AC2A16" w:rsidRPr="00AC2A16" w:rsidRDefault="00AC2A16" w:rsidP="00AC2A16">
      <w:pPr>
        <w:tabs>
          <w:tab w:val="left" w:pos="567"/>
        </w:tabs>
        <w:rPr>
          <w:snapToGrid w:val="0"/>
          <w:szCs w:val="22"/>
        </w:rPr>
      </w:pPr>
      <w:r w:rsidRPr="00AC2A16">
        <w:rPr>
          <w:snapToGrid w:val="0"/>
          <w:szCs w:val="22"/>
        </w:rPr>
        <w:t>Das ursprüngliche RBV-Modell wurde durch das Konzept der dynamischen Fähigkeiten (</w:t>
      </w:r>
      <w:proofErr w:type="spellStart"/>
      <w:r w:rsidRPr="00AC2A16">
        <w:rPr>
          <w:i/>
          <w:iCs/>
          <w:snapToGrid w:val="0"/>
          <w:szCs w:val="22"/>
        </w:rPr>
        <w:t>dynamic</w:t>
      </w:r>
      <w:proofErr w:type="spellEnd"/>
      <w:r w:rsidRPr="00AC2A16">
        <w:rPr>
          <w:i/>
          <w:iCs/>
          <w:snapToGrid w:val="0"/>
          <w:szCs w:val="22"/>
        </w:rPr>
        <w:t xml:space="preserve"> </w:t>
      </w:r>
      <w:proofErr w:type="spellStart"/>
      <w:r w:rsidRPr="00AC2A16">
        <w:rPr>
          <w:i/>
          <w:iCs/>
          <w:snapToGrid w:val="0"/>
          <w:szCs w:val="22"/>
        </w:rPr>
        <w:t>capabilities</w:t>
      </w:r>
      <w:proofErr w:type="spellEnd"/>
      <w:r w:rsidRPr="00AC2A16">
        <w:rPr>
          <w:snapToGrid w:val="0"/>
          <w:szCs w:val="22"/>
        </w:rPr>
        <w:t xml:space="preserve">) erweitert, </w:t>
      </w:r>
      <w:proofErr w:type="gramStart"/>
      <w:r w:rsidRPr="00AC2A16">
        <w:rPr>
          <w:snapToGrid w:val="0"/>
          <w:szCs w:val="22"/>
        </w:rPr>
        <w:t>das</w:t>
      </w:r>
      <w:proofErr w:type="gramEnd"/>
      <w:r w:rsidRPr="00AC2A16">
        <w:rPr>
          <w:snapToGrid w:val="0"/>
          <w:szCs w:val="22"/>
        </w:rPr>
        <w:t xml:space="preserve"> die Fähigkeit eines Unternehmens beschreibt, Ressourcen in einem sich verändernden Umfeld gezielt aufzubauen, zu integrieren und neu zu konfigurieren (Teece et al., 1997). Diese Erweiterung ist besonders relevant für volatile Märkte wie das digitale Marketing, in dem technologische Veränderungen und Plattformdynamiken eine kontinuierliche Ressourcenanpassung erfordern.</w:t>
      </w:r>
    </w:p>
    <w:p w14:paraId="65911A25" w14:textId="77777777" w:rsidR="00AC2A16" w:rsidRPr="00AC2A16" w:rsidRDefault="00AC2A16" w:rsidP="00AC2A16">
      <w:pPr>
        <w:tabs>
          <w:tab w:val="left" w:pos="567"/>
        </w:tabs>
        <w:rPr>
          <w:snapToGrid w:val="0"/>
          <w:szCs w:val="22"/>
        </w:rPr>
      </w:pPr>
      <w:r w:rsidRPr="00AC2A16">
        <w:rPr>
          <w:snapToGrid w:val="0"/>
          <w:szCs w:val="22"/>
        </w:rPr>
        <w:t xml:space="preserve">Im Kontext digitaler Marketinginnovationen bietet der RBV einen geeigneten Erklärungsrahmen, um zu verstehen, warum bestimmte Unternehmen durch den Einsatz digitaler Ressourcen – etwa proprietäre Datenbestände, algorithmische Fähigkeiten oder spezialisiertes Humankapital – nachhaltige Leistungsvorteile erzielen (Bharadwaj et al., 2013). Der RBV dient in der vorliegenden Arbeit als theoretische Grundlage, um die im Paper von Jung und </w:t>
      </w:r>
      <w:proofErr w:type="spellStart"/>
      <w:r w:rsidRPr="00AC2A16">
        <w:rPr>
          <w:snapToGrid w:val="0"/>
          <w:szCs w:val="22"/>
        </w:rPr>
        <w:t>Shegai</w:t>
      </w:r>
      <w:proofErr w:type="spellEnd"/>
      <w:r w:rsidRPr="00AC2A16">
        <w:rPr>
          <w:snapToGrid w:val="0"/>
          <w:szCs w:val="22"/>
        </w:rPr>
        <w:t xml:space="preserve"> (2023) untersuchten Zusammenhänge zwischen digitalen Marketingfähigkeiten und Unternehmenserfolg konzeptionell einzuordnen.</w:t>
      </w:r>
    </w:p>
    <w:p w14:paraId="0F08CE9D" w14:textId="0AA4DF9A" w:rsidR="00841FCE" w:rsidRDefault="00841FCE" w:rsidP="00841FCE">
      <w:pPr>
        <w:tabs>
          <w:tab w:val="left" w:pos="567"/>
        </w:tabs>
        <w:rPr>
          <w:snapToGrid w:val="0"/>
          <w:szCs w:val="22"/>
        </w:rPr>
      </w:pPr>
    </w:p>
    <w:p w14:paraId="52D612FC" w14:textId="5F875952" w:rsidR="00927482" w:rsidRDefault="00927482" w:rsidP="00927482">
      <w:pPr>
        <w:pStyle w:val="berschrift2"/>
        <w:tabs>
          <w:tab w:val="clear" w:pos="567"/>
          <w:tab w:val="left" w:pos="426"/>
        </w:tabs>
        <w:ind w:left="426" w:hanging="426"/>
      </w:pPr>
      <w:r>
        <w:t xml:space="preserve">2.3 </w:t>
      </w:r>
      <w:r w:rsidRPr="008D5CF4">
        <w:t>Zusammenhang von Innovation, Fähigkeiten und Performance</w:t>
      </w:r>
    </w:p>
    <w:p w14:paraId="13318043" w14:textId="77777777" w:rsidR="00927482" w:rsidRDefault="00927482" w:rsidP="00927482">
      <w:pPr>
        <w:tabs>
          <w:tab w:val="left" w:pos="567"/>
        </w:tabs>
        <w:rPr>
          <w:snapToGrid w:val="0"/>
          <w:szCs w:val="22"/>
        </w:rPr>
      </w:pPr>
      <w:r w:rsidRPr="00927482">
        <w:rPr>
          <w:snapToGrid w:val="0"/>
          <w:szCs w:val="22"/>
        </w:rPr>
        <w:t xml:space="preserve">Innovation im digitalen Marketing bezeichnet die Einführung neuer Technologien und Strategien zur Verbesserung der Kundenansprache und Wertschöpfung, </w:t>
      </w:r>
      <w:r w:rsidRPr="00927482">
        <w:rPr>
          <w:snapToGrid w:val="0"/>
          <w:szCs w:val="22"/>
        </w:rPr>
        <w:lastRenderedPageBreak/>
        <w:t xml:space="preserve">darunter KI-gestützte Personalisierung, </w:t>
      </w:r>
      <w:proofErr w:type="spellStart"/>
      <w:r w:rsidRPr="00927482">
        <w:rPr>
          <w:snapToGrid w:val="0"/>
          <w:szCs w:val="22"/>
        </w:rPr>
        <w:t>Social</w:t>
      </w:r>
      <w:proofErr w:type="spellEnd"/>
      <w:r w:rsidRPr="00927482">
        <w:rPr>
          <w:snapToGrid w:val="0"/>
          <w:szCs w:val="22"/>
        </w:rPr>
        <w:t>-Media-Analytik und datengetriebene Kampagnen (Chaffey und Ellis-Chadwick, 2019). Entscheidend ist dabei, dass Innovation nicht isoliert als technologisches Phänomen betrachtet werden kann, sondern stets in die strategische Ausrichtung des Unternehmens eingebettet sein muss. Teece (2010) betont, dass Innovationen nur dann nachhaltige Wettbewerbsvorteile erzeugen, wenn sie mit dem Geschäftsmodell des Unternehmens konsistent sind – andernfalls bleiben digitale Investitionen wirkungslos.</w:t>
      </w:r>
    </w:p>
    <w:p w14:paraId="62F90304" w14:textId="77777777" w:rsidR="00A93EA1" w:rsidRPr="00927482" w:rsidRDefault="00A93EA1" w:rsidP="00927482">
      <w:pPr>
        <w:tabs>
          <w:tab w:val="left" w:pos="567"/>
        </w:tabs>
        <w:rPr>
          <w:snapToGrid w:val="0"/>
          <w:szCs w:val="22"/>
        </w:rPr>
      </w:pPr>
    </w:p>
    <w:p w14:paraId="6D124ED2" w14:textId="77777777" w:rsidR="00927482" w:rsidRDefault="00927482" w:rsidP="00927482">
      <w:pPr>
        <w:tabs>
          <w:tab w:val="left" w:pos="567"/>
        </w:tabs>
        <w:rPr>
          <w:snapToGrid w:val="0"/>
          <w:szCs w:val="22"/>
        </w:rPr>
      </w:pPr>
      <w:r w:rsidRPr="00927482">
        <w:rPr>
          <w:snapToGrid w:val="0"/>
          <w:szCs w:val="22"/>
        </w:rPr>
        <w:t>Die Umsetzung digitaler Innovationen setzt spezifische Fähigkeiten voraus, die sowohl technischer als auch organisationaler Natur sind. Kannan und Li (2017) zeigen, dass Unternehmen mit ausgeprägten digitalen Kompetenzen – etwa in den Bereichen Datenanalyse, SEO oder Content-Strategie – ihre Wettbewerber in zentralen Performance-Metriken systematisch übertreffen. Ergänzend argumentiert Day (2011), dass insbesondere dynamische Fähigkeiten (</w:t>
      </w:r>
      <w:proofErr w:type="spellStart"/>
      <w:r w:rsidRPr="00927482">
        <w:rPr>
          <w:i/>
          <w:iCs/>
          <w:snapToGrid w:val="0"/>
          <w:szCs w:val="22"/>
        </w:rPr>
        <w:t>dynamic</w:t>
      </w:r>
      <w:proofErr w:type="spellEnd"/>
      <w:r w:rsidRPr="00927482">
        <w:rPr>
          <w:i/>
          <w:iCs/>
          <w:snapToGrid w:val="0"/>
          <w:szCs w:val="22"/>
        </w:rPr>
        <w:t xml:space="preserve"> </w:t>
      </w:r>
      <w:proofErr w:type="spellStart"/>
      <w:r w:rsidRPr="00927482">
        <w:rPr>
          <w:i/>
          <w:iCs/>
          <w:snapToGrid w:val="0"/>
          <w:szCs w:val="22"/>
        </w:rPr>
        <w:t>capabilities</w:t>
      </w:r>
      <w:proofErr w:type="spellEnd"/>
      <w:r w:rsidRPr="00927482">
        <w:rPr>
          <w:snapToGrid w:val="0"/>
          <w:szCs w:val="22"/>
        </w:rPr>
        <w:t>), also die Fähigkeit zur kontinuierlichen Rekonfiguration von Ressourcen, entscheidend sind, um Innovationen in einem sich schnell verändernden digitalen Umfeld aufrechtzuerhalten. Fehlen diese Fähigkeiten, drohen Technologieinvestitionen zu verpuffen, da die organisationale Kapazität zur Implementierung nicht ausreicht.</w:t>
      </w:r>
    </w:p>
    <w:p w14:paraId="3909226F" w14:textId="77777777" w:rsidR="00A93EA1" w:rsidRPr="00927482" w:rsidRDefault="00A93EA1" w:rsidP="00927482">
      <w:pPr>
        <w:tabs>
          <w:tab w:val="left" w:pos="567"/>
        </w:tabs>
        <w:rPr>
          <w:snapToGrid w:val="0"/>
          <w:szCs w:val="22"/>
        </w:rPr>
      </w:pPr>
    </w:p>
    <w:p w14:paraId="7266CF3D" w14:textId="541F4A55" w:rsidR="00927482" w:rsidRDefault="00927482" w:rsidP="00927482">
      <w:pPr>
        <w:tabs>
          <w:tab w:val="left" w:pos="567"/>
        </w:tabs>
        <w:rPr>
          <w:snapToGrid w:val="0"/>
          <w:szCs w:val="22"/>
        </w:rPr>
      </w:pPr>
      <w:r w:rsidRPr="00927482">
        <w:rPr>
          <w:snapToGrid w:val="0"/>
          <w:szCs w:val="22"/>
        </w:rPr>
        <w:t>Der Zusammenhang zwischen Innovation, Fähigkeiten und Unternehmensperformance lässt sich als kausale Kette beschreiben</w:t>
      </w:r>
      <w:r w:rsidR="00A93EA1">
        <w:rPr>
          <w:snapToGrid w:val="0"/>
          <w:szCs w:val="22"/>
        </w:rPr>
        <w:t>.</w:t>
      </w:r>
      <w:r w:rsidRPr="00927482">
        <w:rPr>
          <w:snapToGrid w:val="0"/>
          <w:szCs w:val="22"/>
        </w:rPr>
        <w:t xml:space="preserve"> Digitale Innovationen entfalten ihr Potenzial erst durch den Einsatz qualifizierter Mitarbeitender, was sich in messbaren Leistungsindikatoren wie ROI, Kundenbindungsrate oder Customer Lifetime Value niederschlägt (Porter, 2001). </w:t>
      </w:r>
      <w:r w:rsidR="00A93EA1">
        <w:rPr>
          <w:snapToGrid w:val="0"/>
          <w:szCs w:val="22"/>
        </w:rPr>
        <w:t>I</w:t>
      </w:r>
      <w:r w:rsidR="00A93EA1">
        <w:t>n diesem Sinne fungieren die organisationalen Fähigkeiten als Mediator zwischen dem technologischen Innovationsimpuls und dem letztlichen Unternehmenserfolg. D</w:t>
      </w:r>
      <w:r w:rsidRPr="00927482">
        <w:rPr>
          <w:snapToGrid w:val="0"/>
          <w:szCs w:val="22"/>
        </w:rPr>
        <w:t>abei ist zu beachten, dass dieser Zusammenhang nicht linear verläuft – externe Faktoren wie regulatorische Anforderungen</w:t>
      </w:r>
      <w:r w:rsidR="00A93EA1">
        <w:rPr>
          <w:snapToGrid w:val="0"/>
          <w:szCs w:val="22"/>
        </w:rPr>
        <w:t xml:space="preserve"> </w:t>
      </w:r>
      <w:r w:rsidRPr="00927482">
        <w:rPr>
          <w:snapToGrid w:val="0"/>
          <w:szCs w:val="22"/>
        </w:rPr>
        <w:t>oder branchenspezifische Besonderheiten können die Wirkungskette abschwächen oder modifizieren</w:t>
      </w:r>
      <w:r w:rsidR="00A93EA1">
        <w:t xml:space="preserve">. </w:t>
      </w:r>
      <w:r w:rsidRPr="00927482">
        <w:rPr>
          <w:snapToGrid w:val="0"/>
          <w:szCs w:val="22"/>
        </w:rPr>
        <w:t xml:space="preserve">Für die vorliegende Arbeit bildet dieses Dreieck aus Innovation, Fähigkeiten und Performance den konzeptionellen Rahmen, um die Befunde von Jung und </w:t>
      </w:r>
      <w:proofErr w:type="spellStart"/>
      <w:r w:rsidRPr="00927482">
        <w:rPr>
          <w:snapToGrid w:val="0"/>
          <w:szCs w:val="22"/>
        </w:rPr>
        <w:t>Shegai</w:t>
      </w:r>
      <w:proofErr w:type="spellEnd"/>
      <w:r w:rsidRPr="00927482">
        <w:rPr>
          <w:snapToGrid w:val="0"/>
          <w:szCs w:val="22"/>
        </w:rPr>
        <w:t xml:space="preserve"> (2023) theoretisch zu verorten und kritisch zu bewerten.</w:t>
      </w:r>
    </w:p>
    <w:p w14:paraId="35459682" w14:textId="2DC3646C" w:rsidR="008D6297" w:rsidRPr="00520DB7" w:rsidRDefault="008D6297" w:rsidP="008D6297">
      <w:pPr>
        <w:pStyle w:val="berschrift1"/>
        <w:ind w:left="0" w:firstLine="0"/>
        <w:rPr>
          <w:snapToGrid w:val="0"/>
        </w:rPr>
      </w:pPr>
      <w:r>
        <w:rPr>
          <w:snapToGrid w:val="0"/>
        </w:rPr>
        <w:lastRenderedPageBreak/>
        <w:t xml:space="preserve">3 </w:t>
      </w:r>
      <w:r>
        <w:rPr>
          <w:bCs/>
        </w:rPr>
        <w:t xml:space="preserve">Analyse des Papers von Jung und </w:t>
      </w:r>
      <w:proofErr w:type="spellStart"/>
      <w:r>
        <w:rPr>
          <w:bCs/>
        </w:rPr>
        <w:t>Shegai</w:t>
      </w:r>
      <w:proofErr w:type="spellEnd"/>
      <w:r>
        <w:rPr>
          <w:bCs/>
        </w:rPr>
        <w:t xml:space="preserve"> (2023</w:t>
      </w:r>
    </w:p>
    <w:p w14:paraId="49ABD34A" w14:textId="5E1CD763" w:rsidR="008D6297" w:rsidRDefault="008D6297" w:rsidP="008D6297">
      <w:pPr>
        <w:pStyle w:val="berschrift2"/>
      </w:pPr>
      <w:r>
        <w:t>3.1 Methodik und Untersuchungsdesign</w:t>
      </w:r>
    </w:p>
    <w:p w14:paraId="00ACE18D" w14:textId="3EC3F337" w:rsidR="008D6297" w:rsidRPr="008D6297" w:rsidRDefault="008D6297" w:rsidP="008D6297">
      <w:pPr>
        <w:tabs>
          <w:tab w:val="left" w:pos="567"/>
        </w:tabs>
        <w:rPr>
          <w:snapToGrid w:val="0"/>
          <w:szCs w:val="22"/>
        </w:rPr>
      </w:pPr>
      <w:r w:rsidRPr="008D6297">
        <w:rPr>
          <w:snapToGrid w:val="0"/>
          <w:szCs w:val="22"/>
        </w:rPr>
        <w:t xml:space="preserve">Die empirische Untersuchung von Jung und </w:t>
      </w:r>
      <w:proofErr w:type="spellStart"/>
      <w:r w:rsidRPr="008D6297">
        <w:rPr>
          <w:snapToGrid w:val="0"/>
          <w:szCs w:val="22"/>
        </w:rPr>
        <w:t>Shegai</w:t>
      </w:r>
      <w:proofErr w:type="spellEnd"/>
      <w:r w:rsidRPr="008D6297">
        <w:rPr>
          <w:snapToGrid w:val="0"/>
          <w:szCs w:val="22"/>
        </w:rPr>
        <w:t xml:space="preserve"> (2023) basiert auf einem quantitativen Forschungsdesign, das darauf ausgerichtet ist, sowohl direkte als auch indirekte Wirkungsbeziehungen zwischen digitaler Marketinginnovation und Unternehmenserfolg statistisch zu identifizieren. Als methodischer Rahmen wurde eine lineare moderierte Mediationsanalyse gewählt, die es ermöglicht, den Einfluss von Marketing </w:t>
      </w:r>
      <w:proofErr w:type="spellStart"/>
      <w:r w:rsidRPr="008D6297">
        <w:rPr>
          <w:snapToGrid w:val="0"/>
          <w:szCs w:val="22"/>
        </w:rPr>
        <w:t>Capability</w:t>
      </w:r>
      <w:proofErr w:type="spellEnd"/>
      <w:r w:rsidRPr="008D6297">
        <w:rPr>
          <w:snapToGrid w:val="0"/>
          <w:szCs w:val="22"/>
        </w:rPr>
        <w:t xml:space="preserve"> als vermittelnde Variable sowie den moderierenden Effekt der Unternehmensgröße </w:t>
      </w:r>
      <w:r w:rsidR="007B7144">
        <w:rPr>
          <w:snapToGrid w:val="0"/>
          <w:szCs w:val="22"/>
        </w:rPr>
        <w:t>gleichzeitig</w:t>
      </w:r>
      <w:r w:rsidRPr="008D6297">
        <w:rPr>
          <w:snapToGrid w:val="0"/>
          <w:szCs w:val="22"/>
        </w:rPr>
        <w:t xml:space="preserve"> in einem integrierten Modell zu schätzen.</w:t>
      </w:r>
    </w:p>
    <w:p w14:paraId="035587C6" w14:textId="77777777" w:rsidR="008D6297" w:rsidRPr="008D6297" w:rsidRDefault="008D6297" w:rsidP="008D6297">
      <w:pPr>
        <w:tabs>
          <w:tab w:val="left" w:pos="567"/>
        </w:tabs>
        <w:rPr>
          <w:snapToGrid w:val="0"/>
          <w:szCs w:val="22"/>
        </w:rPr>
      </w:pPr>
      <w:r w:rsidRPr="008D6297">
        <w:rPr>
          <w:snapToGrid w:val="0"/>
          <w:szCs w:val="22"/>
        </w:rPr>
        <w:t>Die Datenbasis bilden die 200 größten Unternehmen der beiden südkoreanischen Börsenindizes KOSPI (</w:t>
      </w:r>
      <w:r w:rsidRPr="008D6297">
        <w:rPr>
          <w:i/>
          <w:iCs/>
          <w:snapToGrid w:val="0"/>
          <w:szCs w:val="22"/>
        </w:rPr>
        <w:t>Korea Composite Stock Price Index</w:t>
      </w:r>
      <w:r w:rsidRPr="008D6297">
        <w:rPr>
          <w:snapToGrid w:val="0"/>
          <w:szCs w:val="22"/>
        </w:rPr>
        <w:t>) und KOSDAQ (</w:t>
      </w:r>
      <w:r w:rsidRPr="008D6297">
        <w:rPr>
          <w:i/>
          <w:iCs/>
          <w:snapToGrid w:val="0"/>
          <w:szCs w:val="22"/>
        </w:rPr>
        <w:t xml:space="preserve">Korean Securities Dealers </w:t>
      </w:r>
      <w:proofErr w:type="spellStart"/>
      <w:r w:rsidRPr="008D6297">
        <w:rPr>
          <w:i/>
          <w:iCs/>
          <w:snapToGrid w:val="0"/>
          <w:szCs w:val="22"/>
        </w:rPr>
        <w:t>Automated</w:t>
      </w:r>
      <w:proofErr w:type="spellEnd"/>
      <w:r w:rsidRPr="008D6297">
        <w:rPr>
          <w:i/>
          <w:iCs/>
          <w:snapToGrid w:val="0"/>
          <w:szCs w:val="22"/>
        </w:rPr>
        <w:t xml:space="preserve"> </w:t>
      </w:r>
      <w:proofErr w:type="spellStart"/>
      <w:r w:rsidRPr="008D6297">
        <w:rPr>
          <w:i/>
          <w:iCs/>
          <w:snapToGrid w:val="0"/>
          <w:szCs w:val="22"/>
        </w:rPr>
        <w:t>Quotations</w:t>
      </w:r>
      <w:proofErr w:type="spellEnd"/>
      <w:r w:rsidRPr="008D6297">
        <w:rPr>
          <w:snapToGrid w:val="0"/>
          <w:szCs w:val="22"/>
        </w:rPr>
        <w:t>), gemessen an der Marktkapitalisierung zum Stichtag 29. Dezember 2022. Die Auswahl dieser beiden Indizes ist dabei nicht zufällig: Da der KOSPI vorrangig Large-Cap-Unternehmen umfasst, während der KOSDAQ auf wachstumsstarke kleine und mittelständische Unternehmen ausgerichtet ist, ermöglicht diese Kombination eine Differenzierung nach Unternehmensgröße, die für die Überprüfung von Hypothese 5 methodisch notwendig ist. KOSPI und KOSDAQ werden entsprechend als Dummy-Variablen zur Klassifikation in Großunternehmen und KMU verwendet.</w:t>
      </w:r>
    </w:p>
    <w:p w14:paraId="034672D7" w14:textId="77777777" w:rsidR="008D6297" w:rsidRPr="008D6297" w:rsidRDefault="008D6297" w:rsidP="008D6297">
      <w:pPr>
        <w:tabs>
          <w:tab w:val="left" w:pos="567"/>
        </w:tabs>
        <w:rPr>
          <w:snapToGrid w:val="0"/>
          <w:szCs w:val="22"/>
        </w:rPr>
      </w:pPr>
      <w:r w:rsidRPr="008D6297">
        <w:rPr>
          <w:snapToGrid w:val="0"/>
          <w:szCs w:val="22"/>
        </w:rPr>
        <w:t xml:space="preserve">Die Finanzdaten – insbesondere zur Berechnung von </w:t>
      </w:r>
      <w:proofErr w:type="spellStart"/>
      <w:proofErr w:type="gramStart"/>
      <w:r w:rsidRPr="008D6297">
        <w:rPr>
          <w:snapToGrid w:val="0"/>
          <w:szCs w:val="22"/>
        </w:rPr>
        <w:t>Tobin's</w:t>
      </w:r>
      <w:proofErr w:type="spellEnd"/>
      <w:proofErr w:type="gramEnd"/>
      <w:r w:rsidRPr="008D6297">
        <w:rPr>
          <w:snapToGrid w:val="0"/>
          <w:szCs w:val="22"/>
        </w:rPr>
        <w:t xml:space="preserve"> Q und der Marketing </w:t>
      </w:r>
      <w:proofErr w:type="spellStart"/>
      <w:r w:rsidRPr="008D6297">
        <w:rPr>
          <w:snapToGrid w:val="0"/>
          <w:szCs w:val="22"/>
        </w:rPr>
        <w:t>Capability</w:t>
      </w:r>
      <w:proofErr w:type="spellEnd"/>
      <w:r w:rsidRPr="008D6297">
        <w:rPr>
          <w:snapToGrid w:val="0"/>
          <w:szCs w:val="22"/>
        </w:rPr>
        <w:t xml:space="preserve"> – wurden aus zwei öffentlich zugänglichen Datenbanken bezogen: dem KRX-Datensystem (</w:t>
      </w:r>
      <w:r w:rsidRPr="008D6297">
        <w:rPr>
          <w:i/>
          <w:iCs/>
          <w:snapToGrid w:val="0"/>
          <w:szCs w:val="22"/>
        </w:rPr>
        <w:t>Korea Exchange</w:t>
      </w:r>
      <w:r w:rsidRPr="008D6297">
        <w:rPr>
          <w:snapToGrid w:val="0"/>
          <w:szCs w:val="22"/>
        </w:rPr>
        <w:t>) sowie der DART-Datenbank (</w:t>
      </w:r>
      <w:r w:rsidRPr="008D6297">
        <w:rPr>
          <w:i/>
          <w:iCs/>
          <w:snapToGrid w:val="0"/>
          <w:szCs w:val="22"/>
        </w:rPr>
        <w:t>Data Analysis, Retrieval and Transfer System</w:t>
      </w:r>
      <w:r w:rsidRPr="008D6297">
        <w:rPr>
          <w:snapToGrid w:val="0"/>
          <w:szCs w:val="22"/>
        </w:rPr>
        <w:t>) der koreanischen Finanzaufsichtsbehörde. Die Daten zu den Social-Media-Aktivitäten der Unternehmen wurden separat auf Basis öffentlich verfügbarer Plattformdaten erhoben.</w:t>
      </w:r>
    </w:p>
    <w:p w14:paraId="40B05668" w14:textId="4C3AA3F2" w:rsidR="008D6297" w:rsidRDefault="008D6297" w:rsidP="008D6297">
      <w:pPr>
        <w:tabs>
          <w:tab w:val="left" w:pos="567"/>
        </w:tabs>
        <w:rPr>
          <w:snapToGrid w:val="0"/>
          <w:szCs w:val="22"/>
        </w:rPr>
      </w:pPr>
      <w:r w:rsidRPr="008D6297">
        <w:rPr>
          <w:snapToGrid w:val="0"/>
          <w:szCs w:val="22"/>
        </w:rPr>
        <w:t>Zur Schätzung des Modells wurden vier lineare Regressionsgleichungen mittels OLS (</w:t>
      </w:r>
      <w:proofErr w:type="spellStart"/>
      <w:r w:rsidRPr="008D6297">
        <w:rPr>
          <w:i/>
          <w:iCs/>
          <w:snapToGrid w:val="0"/>
          <w:szCs w:val="22"/>
        </w:rPr>
        <w:t>Ordinary</w:t>
      </w:r>
      <w:proofErr w:type="spellEnd"/>
      <w:r w:rsidRPr="008D6297">
        <w:rPr>
          <w:i/>
          <w:iCs/>
          <w:snapToGrid w:val="0"/>
          <w:szCs w:val="22"/>
        </w:rPr>
        <w:t xml:space="preserve"> Least Squares</w:t>
      </w:r>
      <w:r w:rsidRPr="008D6297">
        <w:rPr>
          <w:snapToGrid w:val="0"/>
          <w:szCs w:val="22"/>
        </w:rPr>
        <w:t>) spezifiziert, die in ihrer Gesamtheit den direkten Effekt von D</w:t>
      </w:r>
      <w:r w:rsidR="007B7144">
        <w:rPr>
          <w:snapToGrid w:val="0"/>
          <w:szCs w:val="22"/>
        </w:rPr>
        <w:t>igitaler Marketinginnovatio</w:t>
      </w:r>
      <w:r w:rsidR="00B31BFD">
        <w:rPr>
          <w:snapToGrid w:val="0"/>
          <w:szCs w:val="22"/>
        </w:rPr>
        <w:t>n</w:t>
      </w:r>
      <w:r w:rsidRPr="008D6297">
        <w:rPr>
          <w:snapToGrid w:val="0"/>
          <w:szCs w:val="22"/>
        </w:rPr>
        <w:t xml:space="preserve"> auf Firm Performance, den Mediationseffekt über Marketing </w:t>
      </w:r>
      <w:proofErr w:type="spellStart"/>
      <w:r w:rsidRPr="008D6297">
        <w:rPr>
          <w:snapToGrid w:val="0"/>
          <w:szCs w:val="22"/>
        </w:rPr>
        <w:t>Capability</w:t>
      </w:r>
      <w:proofErr w:type="spellEnd"/>
      <w:r w:rsidRPr="008D6297">
        <w:rPr>
          <w:snapToGrid w:val="0"/>
          <w:szCs w:val="22"/>
        </w:rPr>
        <w:t xml:space="preserve"> sowie den moderierenden Einfluss der Unternehmensgröße auf diesen Mediationseffekt abbilden. Die kontinuierlichen Variablen wurden vor der Analyse am Mittelwert zentriert, um Multikollinearität zu reduzieren. Die statistische Auswertung erfolgte mithilfe des Mediation-Pakets in R. Zur Überprüfung der Robustheit der Ergebnisse wurden alternative Maße für </w:t>
      </w:r>
      <w:r w:rsidRPr="008D6297">
        <w:rPr>
          <w:snapToGrid w:val="0"/>
          <w:szCs w:val="22"/>
        </w:rPr>
        <w:lastRenderedPageBreak/>
        <w:t>Unternehmensgröße und Unternehmenserfolg herangezogen, die zu konsistenten Befunden führten.</w:t>
      </w:r>
    </w:p>
    <w:p w14:paraId="33A63BAC" w14:textId="77777777" w:rsidR="00387F4C" w:rsidRDefault="00387F4C" w:rsidP="008D6297">
      <w:pPr>
        <w:tabs>
          <w:tab w:val="left" w:pos="567"/>
        </w:tabs>
        <w:rPr>
          <w:snapToGrid w:val="0"/>
          <w:szCs w:val="22"/>
        </w:rPr>
      </w:pPr>
    </w:p>
    <w:p w14:paraId="00B5A05F" w14:textId="14A2C76B" w:rsidR="00927482" w:rsidRPr="005772DD" w:rsidRDefault="00387F4C" w:rsidP="005772DD">
      <w:pPr>
        <w:pStyle w:val="berschrift2"/>
        <w:rPr>
          <w:snapToGrid w:val="0"/>
        </w:rPr>
      </w:pPr>
      <w:r w:rsidRPr="00387F4C">
        <w:rPr>
          <w:snapToGrid w:val="0"/>
        </w:rPr>
        <w:t>3.2 Operationalisierung der Konstrukte</w:t>
      </w:r>
    </w:p>
    <w:p w14:paraId="1FF30655" w14:textId="77777777" w:rsidR="00387F4C" w:rsidRDefault="00387F4C" w:rsidP="00387F4C">
      <w:pPr>
        <w:tabs>
          <w:tab w:val="left" w:pos="567"/>
        </w:tabs>
        <w:rPr>
          <w:snapToGrid w:val="0"/>
          <w:szCs w:val="22"/>
        </w:rPr>
      </w:pPr>
      <w:r w:rsidRPr="00387F4C">
        <w:rPr>
          <w:snapToGrid w:val="0"/>
          <w:szCs w:val="22"/>
        </w:rPr>
        <w:t xml:space="preserve">Die vier zentralen Konstrukte der Untersuchung – digitale Marketinginnovation, Unternehmenserfolg, Marketing </w:t>
      </w:r>
      <w:proofErr w:type="spellStart"/>
      <w:r w:rsidRPr="00387F4C">
        <w:rPr>
          <w:snapToGrid w:val="0"/>
          <w:szCs w:val="22"/>
        </w:rPr>
        <w:t>Capability</w:t>
      </w:r>
      <w:proofErr w:type="spellEnd"/>
      <w:r w:rsidRPr="00387F4C">
        <w:rPr>
          <w:snapToGrid w:val="0"/>
          <w:szCs w:val="22"/>
        </w:rPr>
        <w:t xml:space="preserve"> und Unternehmensgröße – wurden auf Basis etablierter Messverfahren aus der empirischen Marketingforschung operationalisiert.</w:t>
      </w:r>
    </w:p>
    <w:p w14:paraId="3745373B" w14:textId="77777777" w:rsidR="00387F4C" w:rsidRDefault="00387F4C" w:rsidP="00387F4C">
      <w:pPr>
        <w:tabs>
          <w:tab w:val="left" w:pos="567"/>
        </w:tabs>
        <w:rPr>
          <w:snapToGrid w:val="0"/>
          <w:szCs w:val="22"/>
        </w:rPr>
      </w:pPr>
    </w:p>
    <w:p w14:paraId="538CC171" w14:textId="77777777" w:rsidR="00387F4C" w:rsidRDefault="00387F4C" w:rsidP="00387F4C">
      <w:pPr>
        <w:tabs>
          <w:tab w:val="left" w:pos="567"/>
        </w:tabs>
      </w:pPr>
      <w:r w:rsidRPr="00387F4C">
        <w:rPr>
          <w:b/>
          <w:bCs/>
          <w:snapToGrid w:val="0"/>
          <w:szCs w:val="22"/>
        </w:rPr>
        <w:t>Digitale Marketinginnovation (DMI)</w:t>
      </w:r>
      <w:r w:rsidRPr="00387F4C">
        <w:rPr>
          <w:snapToGrid w:val="0"/>
          <w:szCs w:val="22"/>
        </w:rPr>
        <w:t xml:space="preserve"> wird in der Studie über die </w:t>
      </w:r>
      <w:proofErr w:type="spellStart"/>
      <w:r w:rsidRPr="00387F4C">
        <w:rPr>
          <w:snapToGrid w:val="0"/>
          <w:szCs w:val="22"/>
        </w:rPr>
        <w:t>Social</w:t>
      </w:r>
      <w:proofErr w:type="spellEnd"/>
      <w:r w:rsidRPr="00387F4C">
        <w:rPr>
          <w:snapToGrid w:val="0"/>
          <w:szCs w:val="22"/>
        </w:rPr>
        <w:t>-Media-Engagement-Rate (</w:t>
      </w:r>
      <w:r w:rsidRPr="00387F4C">
        <w:rPr>
          <w:i/>
          <w:iCs/>
          <w:snapToGrid w:val="0"/>
          <w:szCs w:val="22"/>
        </w:rPr>
        <w:t>Engagement Rate</w:t>
      </w:r>
      <w:r w:rsidRPr="00387F4C">
        <w:rPr>
          <w:snapToGrid w:val="0"/>
          <w:szCs w:val="22"/>
        </w:rPr>
        <w:t xml:space="preserve">, ER) als Proxy-Variable gemessen. </w:t>
      </w:r>
      <w:r>
        <w:t>Die Wahl einer Proxy-Variable ist in der Innovationsforschung notwendig, da der Prozess der Ideengenerierung und -umsetzung oft nicht direkt beobachtbar ist. Die Engagement-Rate dient hierbei als Brücke zwischen der technologischen Bereitstellung digitaler Tools und deren tatsächlicher Akzeptanz am Markt.</w:t>
      </w:r>
    </w:p>
    <w:p w14:paraId="74429C03" w14:textId="14D0654A" w:rsidR="00387F4C" w:rsidRDefault="00387F4C" w:rsidP="00387F4C">
      <w:pPr>
        <w:tabs>
          <w:tab w:val="left" w:pos="567"/>
        </w:tabs>
      </w:pPr>
      <w:r w:rsidRPr="00387F4C">
        <w:rPr>
          <w:snapToGrid w:val="0"/>
          <w:szCs w:val="22"/>
        </w:rPr>
        <w:t xml:space="preserve">Die Grundannahme ist, dass eine hohe Interaktionsrate auf sozialen Plattformen ein valider Indikator für die Qualität und Wirksamkeit digitaler Marketinginnovationen ist </w:t>
      </w:r>
      <w:r w:rsidRPr="007B7144">
        <w:rPr>
          <w:snapToGrid w:val="0"/>
          <w:szCs w:val="22"/>
          <w:highlight w:val="yellow"/>
        </w:rPr>
        <w:t>(Carlson et al., 2018).</w:t>
      </w:r>
      <w:r w:rsidRPr="00387F4C">
        <w:rPr>
          <w:snapToGrid w:val="0"/>
          <w:szCs w:val="22"/>
        </w:rPr>
        <w:t xml:space="preserve"> Die Engagement-Rate berechnet sich als Verhältnis der gesamten Nutzerinteraktionen zur Gesamtzahl der Follower, multipliziert mit dem Faktor 100. Als </w:t>
      </w:r>
      <w:proofErr w:type="spellStart"/>
      <w:r w:rsidRPr="00387F4C">
        <w:rPr>
          <w:snapToGrid w:val="0"/>
          <w:szCs w:val="22"/>
        </w:rPr>
        <w:t>Interaktionsmetriken</w:t>
      </w:r>
      <w:proofErr w:type="spellEnd"/>
      <w:r w:rsidRPr="00387F4C">
        <w:rPr>
          <w:snapToGrid w:val="0"/>
          <w:szCs w:val="22"/>
        </w:rPr>
        <w:t xml:space="preserve"> werden auf Facebook die Anzahl von Likes, Kommentaren, Shares, Saves und Klicks herangezogen, auf YouTube die Summe aus Likes, Dislikes und Kommentaren. </w:t>
      </w:r>
      <w:r>
        <w:t>Durch die Einbeziehung von Saves und Shares wird zudem die Tiefe der Nutzerinteraktion berücksichtigt. Während ein Like lediglich eine oberflächliche Zustimmung ausdrückt, deutet das Teilen oder Speichern von Inhalten auf eine hohe Relevanz und einen wahrgenommenen Neuheitswert hin</w:t>
      </w:r>
      <w:r w:rsidR="007B7144">
        <w:t>, welches</w:t>
      </w:r>
      <w:r>
        <w:t xml:space="preserve"> zwei Kernattribute einer erfolgreichen Innovation</w:t>
      </w:r>
      <w:r w:rsidR="007B7144">
        <w:t xml:space="preserve"> sind</w:t>
      </w:r>
      <w:r>
        <w:t xml:space="preserve">. </w:t>
      </w:r>
      <w:r w:rsidRPr="00387F4C">
        <w:rPr>
          <w:snapToGrid w:val="0"/>
          <w:szCs w:val="22"/>
        </w:rPr>
        <w:t>Die Erhebung beschränkt sich dabei bewusst auf diese beiden Plattformen, da Facebook für B2C-Unternehmen als besonders effektiver Werbekanal gilt und YouTube eine hohe Reichweite unter den untersuchten Unternehmensgrößen aufweist.</w:t>
      </w:r>
      <w:r>
        <w:rPr>
          <w:snapToGrid w:val="0"/>
          <w:szCs w:val="22"/>
        </w:rPr>
        <w:t xml:space="preserve"> </w:t>
      </w:r>
      <w:r>
        <w:t>Diese Konzentration auf reichweitenstarke Plattformen stellt sicher, dass die erhobenen Daten eine ausreichende Varianz aufweisen, um statistisch belastbare Aussagen über die Wirksamkeit der digitalen Strategien treffen zu können</w:t>
      </w:r>
    </w:p>
    <w:p w14:paraId="4D260090" w14:textId="77777777" w:rsidR="00387F4C" w:rsidRPr="00387F4C" w:rsidRDefault="00387F4C" w:rsidP="00387F4C">
      <w:pPr>
        <w:tabs>
          <w:tab w:val="left" w:pos="567"/>
        </w:tabs>
      </w:pPr>
    </w:p>
    <w:p w14:paraId="381E593C" w14:textId="77777777" w:rsidR="00387F4C" w:rsidRPr="00387F4C" w:rsidRDefault="00387F4C" w:rsidP="00387F4C">
      <w:pPr>
        <w:tabs>
          <w:tab w:val="left" w:pos="567"/>
        </w:tabs>
        <w:rPr>
          <w:snapToGrid w:val="0"/>
          <w:szCs w:val="22"/>
        </w:rPr>
      </w:pPr>
      <w:r w:rsidRPr="00387F4C">
        <w:rPr>
          <w:b/>
          <w:bCs/>
          <w:snapToGrid w:val="0"/>
          <w:szCs w:val="22"/>
        </w:rPr>
        <w:lastRenderedPageBreak/>
        <w:t>Unternehmenserfolg (Firm Performance, FP)</w:t>
      </w:r>
      <w:r w:rsidRPr="00387F4C">
        <w:rPr>
          <w:snapToGrid w:val="0"/>
          <w:szCs w:val="22"/>
        </w:rPr>
        <w:t xml:space="preserve"> wird über </w:t>
      </w:r>
      <w:proofErr w:type="spellStart"/>
      <w:proofErr w:type="gramStart"/>
      <w:r w:rsidRPr="00387F4C">
        <w:rPr>
          <w:snapToGrid w:val="0"/>
          <w:szCs w:val="22"/>
        </w:rPr>
        <w:t>Tobin's</w:t>
      </w:r>
      <w:proofErr w:type="spellEnd"/>
      <w:proofErr w:type="gramEnd"/>
      <w:r w:rsidRPr="00387F4C">
        <w:rPr>
          <w:snapToGrid w:val="0"/>
          <w:szCs w:val="22"/>
        </w:rPr>
        <w:t xml:space="preserve"> Q als abhängige Variable gemessen. Wie bereits in Abschnitt 2.1.2 dargelegt, erfasst </w:t>
      </w:r>
      <w:proofErr w:type="spellStart"/>
      <w:proofErr w:type="gramStart"/>
      <w:r w:rsidRPr="00387F4C">
        <w:rPr>
          <w:snapToGrid w:val="0"/>
          <w:szCs w:val="22"/>
        </w:rPr>
        <w:t>Tobin's</w:t>
      </w:r>
      <w:proofErr w:type="spellEnd"/>
      <w:proofErr w:type="gramEnd"/>
      <w:r w:rsidRPr="00387F4C">
        <w:rPr>
          <w:snapToGrid w:val="0"/>
          <w:szCs w:val="22"/>
        </w:rPr>
        <w:t xml:space="preserve"> Q das Verhältnis zwischen dem Marktwert eines Unternehmens und dem Wiederbeschaffungswert seiner physischen Aktiva und gilt in der empirischen Forschung als etablierter Indikator für den langfristigen, kapitalmarktorientierten Unternehmenserfolg (Gruca und Rego, 2005). Die Berechnung von </w:t>
      </w:r>
      <w:proofErr w:type="spellStart"/>
      <w:proofErr w:type="gramStart"/>
      <w:r w:rsidRPr="00387F4C">
        <w:rPr>
          <w:snapToGrid w:val="0"/>
          <w:szCs w:val="22"/>
        </w:rPr>
        <w:t>Tobin's</w:t>
      </w:r>
      <w:proofErr w:type="spellEnd"/>
      <w:proofErr w:type="gramEnd"/>
      <w:r w:rsidRPr="00387F4C">
        <w:rPr>
          <w:snapToGrid w:val="0"/>
          <w:szCs w:val="22"/>
        </w:rPr>
        <w:t xml:space="preserve"> Q erfolgte auf Grundlage der Jahresabschlussdaten aus der DART-Datenbank.</w:t>
      </w:r>
    </w:p>
    <w:p w14:paraId="7F523300" w14:textId="06CA4BFD" w:rsidR="00387F4C" w:rsidRPr="00387F4C" w:rsidRDefault="00387F4C" w:rsidP="00387F4C">
      <w:pPr>
        <w:tabs>
          <w:tab w:val="left" w:pos="567"/>
        </w:tabs>
        <w:rPr>
          <w:snapToGrid w:val="0"/>
          <w:szCs w:val="22"/>
        </w:rPr>
      </w:pPr>
      <w:r w:rsidRPr="00387F4C">
        <w:rPr>
          <w:b/>
          <w:bCs/>
          <w:snapToGrid w:val="0"/>
          <w:szCs w:val="22"/>
        </w:rPr>
        <w:t xml:space="preserve">Marketing </w:t>
      </w:r>
      <w:proofErr w:type="spellStart"/>
      <w:r w:rsidRPr="00387F4C">
        <w:rPr>
          <w:b/>
          <w:bCs/>
          <w:snapToGrid w:val="0"/>
          <w:szCs w:val="22"/>
        </w:rPr>
        <w:t>Capability</w:t>
      </w:r>
      <w:proofErr w:type="spellEnd"/>
      <w:r w:rsidRPr="00387F4C">
        <w:rPr>
          <w:b/>
          <w:bCs/>
          <w:snapToGrid w:val="0"/>
          <w:szCs w:val="22"/>
        </w:rPr>
        <w:t xml:space="preserve"> (MC)</w:t>
      </w:r>
      <w:r w:rsidRPr="00387F4C">
        <w:rPr>
          <w:snapToGrid w:val="0"/>
          <w:szCs w:val="22"/>
        </w:rPr>
        <w:t xml:space="preserve"> wird mittels einer Input-Output </w:t>
      </w:r>
      <w:proofErr w:type="spellStart"/>
      <w:r w:rsidRPr="00387F4C">
        <w:rPr>
          <w:snapToGrid w:val="0"/>
          <w:szCs w:val="22"/>
        </w:rPr>
        <w:t>Stochastic</w:t>
      </w:r>
      <w:proofErr w:type="spellEnd"/>
      <w:r w:rsidRPr="00387F4C">
        <w:rPr>
          <w:snapToGrid w:val="0"/>
          <w:szCs w:val="22"/>
        </w:rPr>
        <w:t xml:space="preserve"> Frontier Analysis gemessen, einem statistischen Verfahren, das die Effizienz eines Unternehmens im Verhältnis zur theoretisch maximal erreichbaren Leistung unter gegebenen Ressourcen- und Marktbedingungen quantifiziert. Als Input-Variablen dienen dabei die gesamten Unternehmensaktiv</w:t>
      </w:r>
      <w:r w:rsidR="00AA33EE">
        <w:rPr>
          <w:snapToGrid w:val="0"/>
          <w:szCs w:val="22"/>
        </w:rPr>
        <w:t>a</w:t>
      </w:r>
      <w:r w:rsidRPr="00387F4C">
        <w:rPr>
          <w:snapToGrid w:val="0"/>
          <w:szCs w:val="22"/>
        </w:rPr>
        <w:t>, die Vertriebs- und Verwaltungskosten sowie der Patentbestand als Indikator für technologisches Know-how. Als Output-Variable wird der tatsächlich erzielte Umsatz herangezogen. Das resultierende Effizienzmaß bildet ab, inwieweit ein Unternehmen seine Marketingressourcen in marktliche Ergebnisse transformiert. Die Rohdaten wurden ebenfalls aus der DART-Datenbank bezogen.</w:t>
      </w:r>
    </w:p>
    <w:p w14:paraId="0F7B8FE6" w14:textId="77777777" w:rsidR="00387F4C" w:rsidRPr="00387F4C" w:rsidRDefault="00387F4C" w:rsidP="00387F4C">
      <w:pPr>
        <w:tabs>
          <w:tab w:val="left" w:pos="567"/>
        </w:tabs>
        <w:rPr>
          <w:snapToGrid w:val="0"/>
          <w:szCs w:val="22"/>
        </w:rPr>
      </w:pPr>
      <w:r w:rsidRPr="00387F4C">
        <w:rPr>
          <w:b/>
          <w:bCs/>
          <w:snapToGrid w:val="0"/>
          <w:szCs w:val="22"/>
        </w:rPr>
        <w:t>Unternehmensgröße (Firm Size, FS)</w:t>
      </w:r>
      <w:r w:rsidRPr="00387F4C">
        <w:rPr>
          <w:snapToGrid w:val="0"/>
          <w:szCs w:val="22"/>
        </w:rPr>
        <w:t xml:space="preserve"> wird über die Marktkapitalisierung als kontinuierliche Variable erfasst. Dieses Maß wurde gegenüber alternativen Größenindikatoren wie der Bilanzsumme bevorzugt, da die Marktkapitalisierung das Wachstumspotenzial und die Innovationsfähigkeit eines Unternehmens aus Investorenperspektive widerspiegelt – eine Eigenschaft, die im Kontext innovationsgetriebener Forschung besondere Relevanz besitzt. Zur Klassifikation in Großunternehmen und KMU wurden KOSPI- und KOSDAQ-Zugehörigkeit als Dummy-Variablen verwendet.</w:t>
      </w:r>
    </w:p>
    <w:p w14:paraId="0608DDEE" w14:textId="5C91D43A" w:rsidR="00301A8D" w:rsidRDefault="00301A8D" w:rsidP="00301A8D">
      <w:pPr>
        <w:pStyle w:val="berschrift2"/>
        <w:rPr>
          <w:snapToGrid w:val="0"/>
        </w:rPr>
      </w:pPr>
      <w:r w:rsidRPr="00387F4C">
        <w:rPr>
          <w:snapToGrid w:val="0"/>
        </w:rPr>
        <w:t>3.</w:t>
      </w:r>
      <w:r>
        <w:rPr>
          <w:snapToGrid w:val="0"/>
        </w:rPr>
        <w:t>3 Darstellung der zentralen Forschungsergebnisse</w:t>
      </w:r>
    </w:p>
    <w:p w14:paraId="5987F5F9" w14:textId="77777777" w:rsidR="00301A8D" w:rsidRPr="00301A8D" w:rsidRDefault="00301A8D" w:rsidP="00301A8D">
      <w:r w:rsidRPr="00301A8D">
        <w:t>Die Ergebnisse der moderierten Mediationsanalyse bestätigen alle fünf formulierten Hypothesen und liefern damit ein konsistentes Bild über die Wirkungsweise digitaler Marketinginnovation auf den Unternehmenserfolg.</w:t>
      </w:r>
    </w:p>
    <w:p w14:paraId="4FF4272D" w14:textId="77777777" w:rsidR="00301A8D" w:rsidRPr="00301A8D" w:rsidRDefault="00301A8D" w:rsidP="00301A8D">
      <w:r w:rsidRPr="00301A8D">
        <w:t>Direkter Effekt von DMI auf Firm Performance (H1) wird durch Modell 1 bestätigt: Unternehmen mit höherer digitaler Marketinginnovation weisen einen signifikant höheren Unternehmenserfolg auf (β = 0.135, p &lt; 0.01). Dieser direkte Effekt belegt, dass DMI auch unabhängig von vermittelnden Faktoren einen messbaren positiven Beitrag zur Steigerung des Marktwertes leistet.</w:t>
      </w:r>
    </w:p>
    <w:p w14:paraId="648FBB64" w14:textId="6C9B7FDA" w:rsidR="00301A8D" w:rsidRPr="00301A8D" w:rsidRDefault="006C4E23" w:rsidP="00301A8D">
      <w:r>
        <w:lastRenderedPageBreak/>
        <w:t xml:space="preserve">Den </w:t>
      </w:r>
      <w:r w:rsidR="00301A8D" w:rsidRPr="00301A8D">
        <w:t xml:space="preserve">Effekt von DMI auf Marketing </w:t>
      </w:r>
      <w:proofErr w:type="spellStart"/>
      <w:r w:rsidR="00301A8D" w:rsidRPr="00301A8D">
        <w:t>Capability</w:t>
      </w:r>
      <w:proofErr w:type="spellEnd"/>
      <w:r w:rsidR="00301A8D" w:rsidRPr="00301A8D">
        <w:t xml:space="preserve"> (H2) zeigen die Ergebnisse aus Modell 2: Eine höhere digitale Marketinginnovation geht signifikant mit einer höheren Marketing </w:t>
      </w:r>
      <w:proofErr w:type="spellStart"/>
      <w:r w:rsidR="00301A8D" w:rsidRPr="00301A8D">
        <w:t>Capability</w:t>
      </w:r>
      <w:proofErr w:type="spellEnd"/>
      <w:r w:rsidR="00301A8D" w:rsidRPr="00301A8D">
        <w:t xml:space="preserve"> einher (β = 0.244, p &lt; 0.05). DMI stärkt demnach die organisationale Fähigkeit, Marketingressourcen effizient einzusetzen und in </w:t>
      </w:r>
      <w:r>
        <w:t>wirtschaftliche</w:t>
      </w:r>
      <w:r w:rsidR="00301A8D" w:rsidRPr="00301A8D">
        <w:t xml:space="preserve"> Ergebnisse zu überführen.</w:t>
      </w:r>
    </w:p>
    <w:p w14:paraId="7914E78E" w14:textId="77777777" w:rsidR="00301A8D" w:rsidRPr="00301A8D" w:rsidRDefault="00301A8D" w:rsidP="00301A8D">
      <w:r w:rsidRPr="00301A8D">
        <w:t xml:space="preserve">Effekt von Marketing </w:t>
      </w:r>
      <w:proofErr w:type="spellStart"/>
      <w:r w:rsidRPr="00301A8D">
        <w:t>Capability</w:t>
      </w:r>
      <w:proofErr w:type="spellEnd"/>
      <w:r w:rsidRPr="00301A8D">
        <w:t xml:space="preserve"> auf Firm Performance (H3) wird durch Modell 3 bestätigt: Marketing </w:t>
      </w:r>
      <w:proofErr w:type="spellStart"/>
      <w:r w:rsidRPr="00301A8D">
        <w:t>Capability</w:t>
      </w:r>
      <w:proofErr w:type="spellEnd"/>
      <w:r w:rsidRPr="00301A8D">
        <w:t xml:space="preserve"> hat unter Kontrolle des direkten DMI-Effekts einen signifikant positiven Einfluss auf den Unternehmenserfolg (β = 0.396, p &lt; 0.01). Dies unterstreicht die eigenständige Bedeutung von Marketing </w:t>
      </w:r>
      <w:proofErr w:type="spellStart"/>
      <w:r w:rsidRPr="00301A8D">
        <w:t>Capability</w:t>
      </w:r>
      <w:proofErr w:type="spellEnd"/>
      <w:r w:rsidRPr="00301A8D">
        <w:t xml:space="preserve"> als Leistungstreiber.</w:t>
      </w:r>
    </w:p>
    <w:p w14:paraId="6708F686" w14:textId="2E916624" w:rsidR="00301A8D" w:rsidRPr="00301A8D" w:rsidRDefault="006C4E23" w:rsidP="00301A8D">
      <w:r>
        <w:t xml:space="preserve">Der </w:t>
      </w:r>
      <w:r w:rsidR="00301A8D" w:rsidRPr="00301A8D">
        <w:t xml:space="preserve">Mediationseffekt von Marketing </w:t>
      </w:r>
      <w:proofErr w:type="spellStart"/>
      <w:r w:rsidR="00301A8D" w:rsidRPr="00301A8D">
        <w:t>Capability</w:t>
      </w:r>
      <w:proofErr w:type="spellEnd"/>
      <w:r w:rsidR="00301A8D" w:rsidRPr="00301A8D">
        <w:t xml:space="preserve"> (H4) ist das zentrale Ergebnis der Studie. Die </w:t>
      </w:r>
      <w:proofErr w:type="spellStart"/>
      <w:r w:rsidR="00301A8D" w:rsidRPr="00301A8D">
        <w:t>Kausalmedationsanalyse</w:t>
      </w:r>
      <w:proofErr w:type="spellEnd"/>
      <w:r w:rsidR="00301A8D" w:rsidRPr="00301A8D">
        <w:t xml:space="preserve"> zeigt, dass der indirekte Effekt von DMI auf Firm Performance über Marketing </w:t>
      </w:r>
      <w:proofErr w:type="spellStart"/>
      <w:r w:rsidR="00301A8D" w:rsidRPr="00301A8D">
        <w:t>Capability</w:t>
      </w:r>
      <w:proofErr w:type="spellEnd"/>
      <w:r w:rsidR="00301A8D" w:rsidRPr="00301A8D">
        <w:t xml:space="preserve"> (ACME = 0.304, p &lt; 0.001) den direkten Effekt (ADE = 0.111, p &lt; 0.001) deutlich übersteigt. Der Anteil des </w:t>
      </w:r>
      <w:proofErr w:type="spellStart"/>
      <w:r w:rsidR="00301A8D" w:rsidRPr="00301A8D">
        <w:t>medierten</w:t>
      </w:r>
      <w:proofErr w:type="spellEnd"/>
      <w:r w:rsidR="00301A8D" w:rsidRPr="00301A8D">
        <w:t xml:space="preserve"> Effekts am Gesamteffekt beträgt 73.3 % (</w:t>
      </w:r>
      <w:r w:rsidR="00301A8D" w:rsidRPr="00301A8D">
        <w:rPr>
          <w:i/>
          <w:iCs/>
        </w:rPr>
        <w:t xml:space="preserve">Proportion </w:t>
      </w:r>
      <w:proofErr w:type="spellStart"/>
      <w:r w:rsidR="00301A8D" w:rsidRPr="00301A8D">
        <w:rPr>
          <w:i/>
          <w:iCs/>
        </w:rPr>
        <w:t>Mediated</w:t>
      </w:r>
      <w:proofErr w:type="spellEnd"/>
      <w:r w:rsidR="00301A8D" w:rsidRPr="00301A8D">
        <w:t xml:space="preserve"> = 0.733, p &lt; 0.001). </w:t>
      </w:r>
      <w:r w:rsidR="00301A8D">
        <w:t xml:space="preserve">Mit einem Anteil von </w:t>
      </w:r>
      <w:r w:rsidR="00301A8D">
        <w:rPr>
          <w:rStyle w:val="math-inline"/>
          <w:rFonts w:cs="Arial"/>
        </w:rPr>
        <w:t>73,3 %</w:t>
      </w:r>
      <w:r w:rsidR="00301A8D">
        <w:t xml:space="preserve"> am Gesamteffekt wird deutlich, dass die Marketing </w:t>
      </w:r>
      <w:proofErr w:type="spellStart"/>
      <w:r w:rsidR="00301A8D">
        <w:t>Capability</w:t>
      </w:r>
      <w:proofErr w:type="spellEnd"/>
      <w:r>
        <w:t xml:space="preserve"> </w:t>
      </w:r>
      <w:r w:rsidR="00301A8D">
        <w:t xml:space="preserve">der mit Abstand wichtigste Hebel ist, um technologische Innovationen in Marktwert zu transformieren. Die digitale Innovation ist somit primär ein </w:t>
      </w:r>
      <w:proofErr w:type="spellStart"/>
      <w:r w:rsidR="00301A8D" w:rsidRPr="006C4E23">
        <w:rPr>
          <w:highlight w:val="yellow"/>
        </w:rPr>
        <w:t>Enabler</w:t>
      </w:r>
      <w:proofErr w:type="spellEnd"/>
      <w:r w:rsidR="00301A8D">
        <w:t xml:space="preserve"> für organisationale Effizienz. </w:t>
      </w:r>
      <w:r>
        <w:t>Der m</w:t>
      </w:r>
      <w:r w:rsidR="00301A8D" w:rsidRPr="00301A8D">
        <w:t xml:space="preserve">oderierende Effekt der Unternehmensgröße (H5) wird ebenfalls bestätigt. Der indirekte Effekt von DMI auf Firm Performance über Marketing </w:t>
      </w:r>
      <w:proofErr w:type="spellStart"/>
      <w:r w:rsidR="00301A8D" w:rsidRPr="00301A8D">
        <w:t>Capability</w:t>
      </w:r>
      <w:proofErr w:type="spellEnd"/>
      <w:r w:rsidR="00301A8D" w:rsidRPr="00301A8D">
        <w:t xml:space="preserve"> nimmt mit zunehmender Unternehmensgröße signifikant ab, wie die negative Steigung der Moderationsfunktion zeigt (</w:t>
      </w:r>
      <w:proofErr w:type="spellStart"/>
      <w:r w:rsidR="00301A8D" w:rsidRPr="00301A8D">
        <w:t>Indirect</w:t>
      </w:r>
      <w:proofErr w:type="spellEnd"/>
      <w:r w:rsidR="00301A8D" w:rsidRPr="00301A8D">
        <w:t xml:space="preserve"> </w:t>
      </w:r>
      <w:proofErr w:type="spellStart"/>
      <w:r w:rsidR="00301A8D" w:rsidRPr="00301A8D">
        <w:t>Effect</w:t>
      </w:r>
      <w:proofErr w:type="spellEnd"/>
      <w:r w:rsidR="00301A8D" w:rsidRPr="00301A8D">
        <w:t xml:space="preserve"> = 0.233 − 0.156 × FS). Das 95%-Bootstrap-Konfidenzintervall für diese Steigung schließt den Wert null nicht ein (−0.331 bis −0.011), was die statistische Signifikanz des Moderationseffekts absichert. Kleinere Unternehmen profitieren demnach in stärkerem Maße von digitaler Marketinginnovation als Großunternehmen, da der Mediationseffekt über Marketing </w:t>
      </w:r>
      <w:proofErr w:type="spellStart"/>
      <w:r w:rsidR="00301A8D" w:rsidRPr="00301A8D">
        <w:t>Capability</w:t>
      </w:r>
      <w:proofErr w:type="spellEnd"/>
      <w:r w:rsidR="00301A8D" w:rsidRPr="00301A8D">
        <w:t xml:space="preserve"> bei ihnen ausgeprägter wirkt.</w:t>
      </w:r>
    </w:p>
    <w:p w14:paraId="5DE65A61" w14:textId="2E2399AD" w:rsidR="00301A8D" w:rsidRPr="00301A8D" w:rsidRDefault="00301A8D" w:rsidP="00301A8D">
      <w:r w:rsidRPr="00301A8D">
        <w:t>Die Robustheitsprüfung mit alternativen Messgrößen</w:t>
      </w:r>
      <w:r w:rsidR="006C4E23">
        <w:t>,</w:t>
      </w:r>
      <w:r w:rsidRPr="00301A8D">
        <w:t xml:space="preserve"> Bilanzsumme statt Marktkapitalisierung sowie Umsatz statt </w:t>
      </w:r>
      <w:proofErr w:type="spellStart"/>
      <w:proofErr w:type="gramStart"/>
      <w:r w:rsidRPr="00301A8D">
        <w:t>Tobin's</w:t>
      </w:r>
      <w:proofErr w:type="spellEnd"/>
      <w:proofErr w:type="gramEnd"/>
      <w:r w:rsidRPr="00301A8D">
        <w:t xml:space="preserve"> Q</w:t>
      </w:r>
      <w:r w:rsidR="006C4E23">
        <w:t xml:space="preserve">, </w:t>
      </w:r>
      <w:r w:rsidRPr="00301A8D">
        <w:t xml:space="preserve">liefert konsistente Ergebnisse und stützt die Validität der Befunde. Multikollinearität stellt kein Problem dar, da alle </w:t>
      </w:r>
      <w:proofErr w:type="spellStart"/>
      <w:r w:rsidRPr="00301A8D">
        <w:t>Variance</w:t>
      </w:r>
      <w:proofErr w:type="spellEnd"/>
      <w:r w:rsidRPr="00301A8D">
        <w:t xml:space="preserve"> Inflation </w:t>
      </w:r>
      <w:proofErr w:type="spellStart"/>
      <w:r w:rsidRPr="00301A8D">
        <w:t>Factors</w:t>
      </w:r>
      <w:proofErr w:type="spellEnd"/>
      <w:r w:rsidRPr="00301A8D">
        <w:t xml:space="preserve"> (VIF) unter dem kritischen Schwellenwert von 2.5 liegen.</w:t>
      </w:r>
    </w:p>
    <w:p w14:paraId="69262410" w14:textId="10528C14" w:rsidR="00301A8D" w:rsidRPr="00301A8D" w:rsidRDefault="00301A8D" w:rsidP="00301A8D">
      <w:r w:rsidRPr="00301A8D">
        <w:t>Zusammenfassend zeigen die Ergebnisse, dass DMI den Unternehmenserfolg sowohl direkt als auch</w:t>
      </w:r>
      <w:r w:rsidR="006C4E23">
        <w:t xml:space="preserve">, </w:t>
      </w:r>
      <w:r w:rsidRPr="00301A8D">
        <w:t>und vor allem</w:t>
      </w:r>
      <w:r w:rsidR="006C4E23">
        <w:t>,</w:t>
      </w:r>
      <w:r w:rsidRPr="00301A8D">
        <w:t xml:space="preserve"> indirekt über die Stärkung der Marketing </w:t>
      </w:r>
      <w:proofErr w:type="spellStart"/>
      <w:r w:rsidRPr="00301A8D">
        <w:lastRenderedPageBreak/>
        <w:t>Capability</w:t>
      </w:r>
      <w:proofErr w:type="spellEnd"/>
      <w:r w:rsidRPr="00301A8D">
        <w:t xml:space="preserve"> positiv beeinflusst, wobei dieser Effekt bei kleineren Unternehmen besonders ausgeprägt ist.</w:t>
      </w:r>
    </w:p>
    <w:p w14:paraId="29290AD1" w14:textId="240504A2" w:rsidR="00301A8D" w:rsidRDefault="00AA33EE" w:rsidP="005772DD">
      <w:pPr>
        <w:pStyle w:val="berschrift1"/>
        <w:ind w:left="0" w:firstLine="0"/>
      </w:pPr>
      <w:r w:rsidRPr="00AA33EE">
        <w:lastRenderedPageBreak/>
        <w:t>4 Kritische Würdigung und Praxistransfer</w:t>
      </w:r>
    </w:p>
    <w:p w14:paraId="13010859" w14:textId="130CA44F" w:rsidR="00AA33EE" w:rsidRDefault="00AA33EE" w:rsidP="00AA33EE">
      <w:pPr>
        <w:pStyle w:val="berschrift2"/>
      </w:pPr>
      <w:r>
        <w:t>4.1 Implikationen und Stärken der Untersuchung</w:t>
      </w:r>
    </w:p>
    <w:p w14:paraId="40EDABF2" w14:textId="35616D9B" w:rsidR="00AA33EE" w:rsidRPr="00AA33EE" w:rsidRDefault="00AA33EE" w:rsidP="00AA33EE">
      <w:r w:rsidRPr="00AA33EE">
        <w:t xml:space="preserve">Die Studie von Jung und </w:t>
      </w:r>
      <w:proofErr w:type="spellStart"/>
      <w:r w:rsidRPr="00AA33EE">
        <w:t>Shegai</w:t>
      </w:r>
      <w:proofErr w:type="spellEnd"/>
      <w:r w:rsidRPr="00AA33EE">
        <w:t xml:space="preserve"> (2023) leistet einen relevanten Beitrag zur empirischen Marketingforschung, indem sie einen bislang wenig untersuchten Wirkungsmechanismus zwischen digitaler Marketinginnovation und Unternehmenserfolg systematisch aufdeckt. Besonders hervorzuheben ist dabei die Entscheidung, Marketing </w:t>
      </w:r>
      <w:proofErr w:type="spellStart"/>
      <w:r w:rsidRPr="00AA33EE">
        <w:t>Capability</w:t>
      </w:r>
      <w:proofErr w:type="spellEnd"/>
      <w:r w:rsidRPr="00AA33EE">
        <w:t xml:space="preserve"> nicht lediglich als Kontrollvariable, sondern als zentralen Mediator in das Modell zu integrieren. Dadurch wird deutlich, dass D</w:t>
      </w:r>
      <w:r w:rsidR="004628DC">
        <w:t>igitale Marketinginnovation</w:t>
      </w:r>
      <w:r w:rsidRPr="00AA33EE">
        <w:t xml:space="preserve"> den Unternehmenserfolg nicht automatisch steigert, sondern erst dann seine volle Wirkung entfaltet, wenn die organisationale Fähigkeit vorhanden ist, digitale Innovationen effektiv einzusetzen. Diese Erkenntnis ist für die Marketingforschung insofern bedeutsam, als sie die in der </w:t>
      </w:r>
      <w:r w:rsidRPr="004628DC">
        <w:rPr>
          <w:highlight w:val="yellow"/>
        </w:rPr>
        <w:t>RBV-Literatur</w:t>
      </w:r>
      <w:r w:rsidRPr="00AA33EE">
        <w:t xml:space="preserve"> verankerte Annahme empirisch stützt, dass der bloße Besitz von Ressourcen nicht ausreicht, sondern deren kompetenter Einsatz entscheidend ist (Barney, 1991).</w:t>
      </w:r>
      <w:r>
        <w:t xml:space="preserve"> In praktischer Hinsicht liefert dies ein deutliches Warnsignal an das Management</w:t>
      </w:r>
      <w:r w:rsidR="004628DC">
        <w:t>.</w:t>
      </w:r>
      <w:r>
        <w:t xml:space="preserve"> Investitionen in digitale Tools sind ohne die gleichzeitige Investition in das</w:t>
      </w:r>
      <w:r w:rsidR="004628DC">
        <w:t xml:space="preserve"> Personal</w:t>
      </w:r>
      <w:r>
        <w:t xml:space="preserve"> und die entsprechenden Prozesse am Kapitalmarkt weitgehend wertlos. Die Studie entlarvt damit ein bloßes „Digitalisieren um der Digitalisierung willen“ als ökonomisch ineffizient.</w:t>
      </w:r>
    </w:p>
    <w:p w14:paraId="78EA3AF4" w14:textId="50C7A384" w:rsidR="00AA33EE" w:rsidRPr="00AA33EE" w:rsidRDefault="00AA33EE" w:rsidP="00AA33EE">
      <w:r w:rsidRPr="00AA33EE">
        <w:t>Ein weiterer theoretischer Beitrag liegt in der Einbeziehung der Unternehmensgröße als Moderat</w:t>
      </w:r>
      <w:r w:rsidR="004628DC">
        <w:t>ions</w:t>
      </w:r>
      <w:r w:rsidRPr="00AA33EE">
        <w:t>variable. Während frühere Studien K</w:t>
      </w:r>
      <w:r w:rsidR="004628DC">
        <w:t>leinunternehmen</w:t>
      </w:r>
      <w:r w:rsidRPr="00AA33EE">
        <w:t xml:space="preserve"> und Großunternehmen meist getrennt analysiert haben, vergleicht diese Untersuchung beide Gruppen direkt innerhalb eines einheitlichen Modells. Das Ergebnis</w:t>
      </w:r>
      <w:r w:rsidR="004628DC">
        <w:t>,</w:t>
      </w:r>
      <w:r w:rsidRPr="00AA33EE">
        <w:t xml:space="preserve"> dass kleinere Unternehmen stärker von DMI profitieren als große</w:t>
      </w:r>
      <w:r w:rsidR="004628DC">
        <w:t>,</w:t>
      </w:r>
      <w:r w:rsidRPr="00AA33EE">
        <w:t xml:space="preserve"> liefert der Forschung eine differenzierte Perspektive, die pauschale Aussagen über den Nutzen digitaler Marketinginnovation relativiert.</w:t>
      </w:r>
    </w:p>
    <w:p w14:paraId="4CE48CE3" w14:textId="71B8CB82" w:rsidR="00AA33EE" w:rsidRPr="00AA33EE" w:rsidRDefault="00AA33EE" w:rsidP="00AA33EE">
      <w:r w:rsidRPr="00AA33EE">
        <w:t xml:space="preserve">Methodisch überzeugt die Studie durch mehrere Aspekte. Die Wahl von </w:t>
      </w:r>
      <w:proofErr w:type="spellStart"/>
      <w:proofErr w:type="gramStart"/>
      <w:r w:rsidRPr="00AA33EE">
        <w:t>Tobin's</w:t>
      </w:r>
      <w:proofErr w:type="spellEnd"/>
      <w:proofErr w:type="gramEnd"/>
      <w:r w:rsidRPr="00AA33EE">
        <w:t xml:space="preserve"> Q als Erfolgsmaß ist gut begründet, da sie</w:t>
      </w:r>
      <w:r w:rsidR="004628DC">
        <w:t>,</w:t>
      </w:r>
      <w:r w:rsidRPr="00AA33EE">
        <w:t xml:space="preserve"> im Gegensatz zu buchhalterischen Kennzahlen</w:t>
      </w:r>
      <w:r w:rsidR="004628DC">
        <w:t>,</w:t>
      </w:r>
      <w:r w:rsidRPr="00AA33EE">
        <w:t xml:space="preserve"> immaterielle Werte wie Markenkapital oder Kundenloyalität implizit erfasst und damit besonders geeignet ist, den langfristigen Effekt von Marketinginnovationen abzubilden. Die durchgeführten Robustheitsprüfungen mit alternativen Messgrößen erhöhen zusätzlich die Verlässlichkeit der Befunde.</w:t>
      </w:r>
    </w:p>
    <w:p w14:paraId="2B073219" w14:textId="608EF386" w:rsidR="00AA33EE" w:rsidRPr="00AA33EE" w:rsidRDefault="004628DC" w:rsidP="00AA33EE">
      <w:r>
        <w:t>Außerdem</w:t>
      </w:r>
      <w:r w:rsidR="00AA33EE" w:rsidRPr="00AA33EE">
        <w:t xml:space="preserve"> </w:t>
      </w:r>
      <w:r>
        <w:t>kann</w:t>
      </w:r>
      <w:r w:rsidR="00AA33EE" w:rsidRPr="00AA33EE">
        <w:t xml:space="preserve"> die Verknüpfung von Sekundärdaten aus öffentlich zugänglichen Finanzdatenbanken mit plattformspezifischen </w:t>
      </w:r>
      <w:proofErr w:type="spellStart"/>
      <w:r w:rsidR="00AA33EE" w:rsidRPr="00AA33EE">
        <w:t>Social</w:t>
      </w:r>
      <w:proofErr w:type="spellEnd"/>
      <w:r w:rsidR="00AA33EE" w:rsidRPr="00AA33EE">
        <w:t xml:space="preserve">-Media-Daten als innovativer </w:t>
      </w:r>
      <w:r w:rsidR="00AA33EE" w:rsidRPr="00AA33EE">
        <w:lastRenderedPageBreak/>
        <w:t xml:space="preserve">Ansatz der Datentriangulation </w:t>
      </w:r>
      <w:r>
        <w:t>angesehen werden</w:t>
      </w:r>
      <w:r w:rsidR="00AA33EE" w:rsidRPr="00AA33EE">
        <w:t>, der die Validität der Studie stärkt.</w:t>
      </w:r>
      <w:r w:rsidR="00AA33EE">
        <w:t xml:space="preserve"> Zudem erweist sich </w:t>
      </w:r>
      <w:proofErr w:type="gramStart"/>
      <w:r w:rsidR="00AA33EE">
        <w:t>die Wahl des südkoreanischen Marktes</w:t>
      </w:r>
      <w:proofErr w:type="gramEnd"/>
      <w:r w:rsidR="00AA33EE">
        <w:t xml:space="preserve"> als vorteilhaft: Da Südkorea als globaler </w:t>
      </w:r>
      <w:r>
        <w:t>frühzeitiger Übernehmer</w:t>
      </w:r>
      <w:r w:rsidR="00AA33EE">
        <w:t xml:space="preserve"> digitaler Trends gilt, können die dortigen Ergebnisse als wertvoller Frühindikator für zukünftige Entwicklungen in westlichen Märkten dienen.</w:t>
      </w:r>
      <w:r w:rsidR="00790434">
        <w:t xml:space="preserve"> </w:t>
      </w:r>
      <w:r w:rsidR="00790434" w:rsidRPr="00790434">
        <w:rPr>
          <w:highlight w:val="yellow"/>
        </w:rPr>
        <w:t>(</w:t>
      </w:r>
      <w:r w:rsidR="00790434">
        <w:rPr>
          <w:highlight w:val="yellow"/>
        </w:rPr>
        <w:t xml:space="preserve">WIPO Global </w:t>
      </w:r>
      <w:proofErr w:type="spellStart"/>
      <w:r w:rsidR="00790434">
        <w:rPr>
          <w:highlight w:val="yellow"/>
        </w:rPr>
        <w:t>innvoation</w:t>
      </w:r>
      <w:proofErr w:type="spellEnd"/>
      <w:r w:rsidR="00790434">
        <w:rPr>
          <w:highlight w:val="yellow"/>
        </w:rPr>
        <w:t xml:space="preserve"> </w:t>
      </w:r>
      <w:proofErr w:type="spellStart"/>
      <w:r w:rsidR="00790434">
        <w:rPr>
          <w:highlight w:val="yellow"/>
        </w:rPr>
        <w:t>index</w:t>
      </w:r>
      <w:proofErr w:type="spellEnd"/>
      <w:r w:rsidR="00790434" w:rsidRPr="00790434">
        <w:rPr>
          <w:highlight w:val="yellow"/>
        </w:rPr>
        <w:t>)</w:t>
      </w:r>
    </w:p>
    <w:p w14:paraId="5419035A" w14:textId="38DB4909" w:rsidR="00790434" w:rsidRDefault="00790434" w:rsidP="00790434">
      <w:pPr>
        <w:pStyle w:val="berschrift2"/>
      </w:pPr>
      <w:r>
        <w:t>4.</w:t>
      </w:r>
      <w:r w:rsidR="005772DD">
        <w:t>2</w:t>
      </w:r>
      <w:r>
        <w:t xml:space="preserve"> Limitationen und methodische Beschränkungen</w:t>
      </w:r>
    </w:p>
    <w:p w14:paraId="15BDBA89" w14:textId="77777777" w:rsidR="00790434" w:rsidRPr="004628DC" w:rsidRDefault="00790434" w:rsidP="00790434">
      <w:r w:rsidRPr="00790434">
        <w:t xml:space="preserve">Trotz der genannten Stärken weist die Studie von Jung und </w:t>
      </w:r>
      <w:proofErr w:type="spellStart"/>
      <w:r w:rsidRPr="00790434">
        <w:t>Shegai</w:t>
      </w:r>
      <w:proofErr w:type="spellEnd"/>
      <w:r w:rsidRPr="00790434">
        <w:t xml:space="preserve"> (2023) eine Reihe von Limitationen auf, die bei der Interpretation der Befunde berücksichtigt werden </w:t>
      </w:r>
      <w:r w:rsidRPr="004628DC">
        <w:t>müssen.</w:t>
      </w:r>
    </w:p>
    <w:p w14:paraId="2AA9D21E" w14:textId="13A8CD2A" w:rsidR="00790434" w:rsidRPr="004628DC" w:rsidRDefault="00790434" w:rsidP="00790434">
      <w:r w:rsidRPr="004628DC">
        <w:t>Zunächst betrifft eine wesentliche Einschränkung das Untersuchungsdesign. Die Autoren testen ihr Modell auf Basis von Daten zum Stichtag des 29. Dezembers 2022. Da es sich somit um ein Querschnittsdesign handelt, lassen sich keine Kausalitätsaussagen im strengen zeitlichen Sinne treffen. Ein Querschnitt liefert lediglich eine Momentaufnahme</w:t>
      </w:r>
      <w:r w:rsidR="004628DC">
        <w:t xml:space="preserve">, </w:t>
      </w:r>
      <w:r w:rsidRPr="004628DC">
        <w:t xml:space="preserve">kann aber nicht abbilden, wie sich digitale Marketinginnovationen über einen längeren Zeitraum auf den </w:t>
      </w:r>
      <w:proofErr w:type="spellStart"/>
      <w:proofErr w:type="gramStart"/>
      <w:r w:rsidRPr="004628DC">
        <w:t>Tobin’s</w:t>
      </w:r>
      <w:proofErr w:type="spellEnd"/>
      <w:proofErr w:type="gramEnd"/>
      <w:r w:rsidRPr="004628DC">
        <w:t xml:space="preserve"> Q auswirken. Insbesondere bei Innovationen ist jedoch davon auszugehen, dass zwischen der Investition und dem Marktwertzuwachs ein zeitlicher </w:t>
      </w:r>
      <w:r w:rsidR="004628DC">
        <w:t>Abstand</w:t>
      </w:r>
      <w:r w:rsidRPr="004628DC">
        <w:t xml:space="preserve"> besteht, den dieses Design methodisch nicht erfassen kann.</w:t>
      </w:r>
    </w:p>
    <w:p w14:paraId="4FEE9327" w14:textId="7BC5AFBB" w:rsidR="00790434" w:rsidRPr="004628DC" w:rsidRDefault="00790434" w:rsidP="00790434">
      <w:r w:rsidRPr="004628DC">
        <w:t>Zudem verstärkt das Querschnittsdesign das Risiko einer umgekehrten Kausalität</w:t>
      </w:r>
      <w:r w:rsidR="007F7FA4">
        <w:t xml:space="preserve">. </w:t>
      </w:r>
      <w:r w:rsidRPr="004628DC">
        <w:t>Es bleibt theoretisch ungeklärt, ob die digitale Innovation den Unternehmenserfolg steigert oder ob finanziell bereits erfolgreichere Unternehmen</w:t>
      </w:r>
      <w:r w:rsidR="007F7FA4">
        <w:t xml:space="preserve">, </w:t>
      </w:r>
      <w:r w:rsidRPr="004628DC">
        <w:t xml:space="preserve">mit einem hohen </w:t>
      </w:r>
      <w:proofErr w:type="spellStart"/>
      <w:proofErr w:type="gramStart"/>
      <w:r w:rsidRPr="004628DC">
        <w:t>Tobin’s</w:t>
      </w:r>
      <w:proofErr w:type="spellEnd"/>
      <w:proofErr w:type="gramEnd"/>
      <w:r w:rsidRPr="004628DC">
        <w:t xml:space="preserve"> Q</w:t>
      </w:r>
      <w:r w:rsidR="007F7FA4">
        <w:t xml:space="preserve">, </w:t>
      </w:r>
      <w:r w:rsidRPr="004628DC">
        <w:t>schlichtweg über die notwendigen Slack-Ressourcen verfügen, um zum Stichtag Ende 2022 höhere Engagement-Raten auf Facebook und YouTube zu generieren.</w:t>
      </w:r>
    </w:p>
    <w:p w14:paraId="0E90193C" w14:textId="5695F6B1" w:rsidR="00790434" w:rsidRPr="004628DC" w:rsidRDefault="00790434" w:rsidP="00790434">
      <w:r w:rsidRPr="004628DC">
        <w:t>Ein weiterer Kritikpunkt liegt in der geografischen und kulturellen Reichweite. Die ausschließliche Konzentration auf die Top-200-Unternehmen der Indizes KOSPI und KOSDAQ schränkt die externe Validität ein. Südkorea zeichnet sich durch eine spezifische digitale Infrastruktur und eine ausgeprägte Großkonzernstruktur (</w:t>
      </w:r>
      <w:proofErr w:type="spellStart"/>
      <w:r w:rsidRPr="004628DC">
        <w:t>Chaebols</w:t>
      </w:r>
      <w:proofErr w:type="spellEnd"/>
      <w:r w:rsidRPr="004628DC">
        <w:t>) aus. Diese Gegebenheiten lassen sich nicht ohne Weiteres auf europäische Wirtschaftsräume übertragen, die – wie etwa der deutsche Mittelstand – oft durch andere Finanzierungsstrukturen und Digitalisierungsgrade geprägt sind.</w:t>
      </w:r>
      <w:r w:rsidR="007F7FA4">
        <w:t xml:space="preserve"> </w:t>
      </w:r>
      <w:r w:rsidR="007F7FA4" w:rsidRPr="007F7FA4">
        <w:rPr>
          <w:highlight w:val="yellow"/>
        </w:rPr>
        <w:t>(Quelle)</w:t>
      </w:r>
    </w:p>
    <w:p w14:paraId="6D4D90D9" w14:textId="53BAD82E" w:rsidR="005772DD" w:rsidRDefault="00790434" w:rsidP="00790434">
      <w:r w:rsidRPr="004628DC">
        <w:t xml:space="preserve">Schließlich greift die Operationalisierung der digitalen Marketinginnovation konzeptionell zu kurz. Die Reduktion auf die </w:t>
      </w:r>
      <w:proofErr w:type="spellStart"/>
      <w:r w:rsidRPr="004628DC">
        <w:t>Social</w:t>
      </w:r>
      <w:proofErr w:type="spellEnd"/>
      <w:r w:rsidRPr="00790434">
        <w:t xml:space="preserve">-Media-Engagement-Rate bildet </w:t>
      </w:r>
      <w:r w:rsidRPr="00790434">
        <w:lastRenderedPageBreak/>
        <w:t>lediglich die externe Kommunikationsdimension ab. Prozessuale Innovationen im Marketing-Backend, wie etwa der Einsatz von KI zur Preissteuerung oder datengestützte CRM-Systeme, werden durch diesen Proxy nicht erfasst. Die Engagement-Rate misst somit eher die Sichtbarkeit einer Marke als die tatsächliche strategische Innovationstiefe.</w:t>
      </w:r>
    </w:p>
    <w:p w14:paraId="3914B538" w14:textId="77777777" w:rsidR="005772DD" w:rsidRDefault="005772DD" w:rsidP="00790434"/>
    <w:p w14:paraId="4A21671D" w14:textId="29DD3527" w:rsidR="005772DD" w:rsidRDefault="005772DD" w:rsidP="005772DD">
      <w:pPr>
        <w:pStyle w:val="berschrift2"/>
      </w:pPr>
      <w:r>
        <w:t>4.3 Handlungsempfehlungen für die Unternehmenspraxis</w:t>
      </w:r>
    </w:p>
    <w:p w14:paraId="3DED15EA" w14:textId="77777777" w:rsidR="005772DD" w:rsidRPr="005772DD" w:rsidRDefault="005772DD" w:rsidP="005772DD">
      <w:r w:rsidRPr="005772DD">
        <w:t xml:space="preserve">Die Befunde von Jung und </w:t>
      </w:r>
      <w:proofErr w:type="spellStart"/>
      <w:r w:rsidRPr="005772DD">
        <w:t>Shegai</w:t>
      </w:r>
      <w:proofErr w:type="spellEnd"/>
      <w:r w:rsidRPr="005772DD">
        <w:t xml:space="preserve"> (2023) liefern nicht nur theoretische Erkenntnisse, sondern lassen sich in konkrete Handlungsempfehlungen für Unternehmen übersetzen, die ihre digitale Marketingstrategie gezielt weiterentwickeln möchten.</w:t>
      </w:r>
    </w:p>
    <w:p w14:paraId="4B6E8268" w14:textId="4D32AB8A" w:rsidR="005772DD" w:rsidRPr="005772DD" w:rsidRDefault="005772DD" w:rsidP="005772DD">
      <w:r w:rsidRPr="005772DD">
        <w:t xml:space="preserve">Die zentrale praktische Schlussfolgerung der Studie lautet: Investitionen in digitale Marketinginnovation entfalten ihren vollen Wert erst dann, wenn sie von einer entsprechend entwickelten Marketing </w:t>
      </w:r>
      <w:proofErr w:type="spellStart"/>
      <w:r w:rsidRPr="005772DD">
        <w:t>Capability</w:t>
      </w:r>
      <w:proofErr w:type="spellEnd"/>
      <w:r w:rsidRPr="005772DD">
        <w:t xml:space="preserve"> begleitet werden. Für die Unternehmenspraxis bedeutet dies, dass die Einführung neuer digitaler Technologien und Kanäle nicht isoliert betrachtet werden darf, sondern stets mit dem gezielten Aufbau organisationaler Fähigkeiten</w:t>
      </w:r>
      <w:r w:rsidR="007F7FA4">
        <w:t>,</w:t>
      </w:r>
      <w:r w:rsidRPr="005772DD">
        <w:t xml:space="preserve"> etwa in den Bereichen Datenanalyse, Content-Strategie oder </w:t>
      </w:r>
      <w:proofErr w:type="spellStart"/>
      <w:r w:rsidRPr="005772DD">
        <w:t>Social</w:t>
      </w:r>
      <w:proofErr w:type="spellEnd"/>
      <w:r w:rsidRPr="005772DD">
        <w:t>-Media-Management</w:t>
      </w:r>
      <w:r w:rsidR="007F7FA4">
        <w:t>,</w:t>
      </w:r>
      <w:r w:rsidRPr="005772DD">
        <w:t xml:space="preserve"> verbunden sein muss. Unternehmen, die in digitale Tools investieren, ohne gleichzeitig in die Qualifikation ihrer Mitarbeitenden zu investieren, riskieren, dass diese Investitionen wirkungslos bleiben (</w:t>
      </w:r>
      <w:r w:rsidRPr="007F7FA4">
        <w:rPr>
          <w:highlight w:val="yellow"/>
        </w:rPr>
        <w:t>Kannan und Li, 2017).</w:t>
      </w:r>
    </w:p>
    <w:p w14:paraId="698DA5CC" w14:textId="2F459857" w:rsidR="005772DD" w:rsidRPr="005772DD" w:rsidRDefault="005772DD" w:rsidP="005772DD">
      <w:r w:rsidRPr="005772DD">
        <w:t xml:space="preserve">Eine zweite wichtige Implikation betrifft die </w:t>
      </w:r>
      <w:r w:rsidRPr="007F7FA4">
        <w:t>Unternehmensgröße.</w:t>
      </w:r>
      <w:r w:rsidRPr="005772DD">
        <w:t xml:space="preserve"> Da die Studie zeigt, dass kleinere Unternehmen stärker von DMI profitieren als große, sollten K</w:t>
      </w:r>
      <w:r w:rsidR="007F7FA4">
        <w:t>leinunternehmen</w:t>
      </w:r>
      <w:r w:rsidRPr="005772DD">
        <w:t xml:space="preserve"> digitale Marketinginnovation als strategische Priorität begreifen. Gerade weil K</w:t>
      </w:r>
      <w:r w:rsidR="007F7FA4">
        <w:t>leinunternehmen</w:t>
      </w:r>
      <w:r w:rsidRPr="005772DD">
        <w:t xml:space="preserve"> in der Regel über begrenztere Ressourcen verfügen, bietet ihnen </w:t>
      </w:r>
      <w:r w:rsidR="007F7FA4">
        <w:t>digitale Marketinginnovationen</w:t>
      </w:r>
      <w:r w:rsidRPr="005772DD">
        <w:t xml:space="preserve"> die Möglichkeit, durch gezielte und effiziente digitale Maßnahmen Wettbewerbsnachteile gegenüber größeren Konkurrenten zu kompensieren</w:t>
      </w:r>
      <w:r>
        <w:t xml:space="preserve">. Dabei gilt es vor allem, die oft vorhandene </w:t>
      </w:r>
      <w:r w:rsidR="007F7FA4">
        <w:t>S</w:t>
      </w:r>
      <w:r w:rsidRPr="007F7FA4">
        <w:t>ilomentalität</w:t>
      </w:r>
      <w:r>
        <w:t xml:space="preserve"> zwischen IT- und Marketingabteilungen aufzubrechen, um </w:t>
      </w:r>
      <w:r w:rsidR="007F7FA4">
        <w:t>die Ressourcen für digitale Marketinginnovationen</w:t>
      </w:r>
      <w:r>
        <w:t xml:space="preserve"> flächendeckend in organisationale Fähigkeiten zu transformieren</w:t>
      </w:r>
      <w:r w:rsidRPr="005772DD">
        <w:t xml:space="preserve">. </w:t>
      </w:r>
    </w:p>
    <w:p w14:paraId="7A1E7107" w14:textId="4C4B28CA" w:rsidR="005772DD" w:rsidRPr="005772DD" w:rsidRDefault="005772DD" w:rsidP="005772DD">
      <w:r w:rsidRPr="005772DD">
        <w:t xml:space="preserve">Für Großunternehmen hingegen legen die Befunde nahe, dass der Mehrwert digitaler Marketinginnovation weniger im direkten Performanceeffekt </w:t>
      </w:r>
      <w:proofErr w:type="gramStart"/>
      <w:r w:rsidRPr="005772DD">
        <w:t>liegt,</w:t>
      </w:r>
      <w:proofErr w:type="gramEnd"/>
      <w:r w:rsidRPr="005772DD">
        <w:t xml:space="preserve"> als vielmehr in der kontinuierlichen Weiterentwicklung bestehender </w:t>
      </w:r>
      <w:r w:rsidRPr="005772DD">
        <w:lastRenderedPageBreak/>
        <w:t xml:space="preserve">Marketingfähigkeiten. Da der Mediationseffekt über Marketing </w:t>
      </w:r>
      <w:proofErr w:type="spellStart"/>
      <w:r w:rsidRPr="005772DD">
        <w:t>Capability</w:t>
      </w:r>
      <w:proofErr w:type="spellEnd"/>
      <w:r w:rsidRPr="005772DD">
        <w:t xml:space="preserve"> bei großen Unternehmen schwächer ausgeprägt ist, sollten diese stärker auf die Integration von</w:t>
      </w:r>
      <w:r w:rsidR="007F7FA4">
        <w:t xml:space="preserve"> digitalen Marketinginnovationen</w:t>
      </w:r>
      <w:r w:rsidRPr="005772DD">
        <w:t xml:space="preserve"> in bestehende strategische Strukturen und Prozesse setzen, anstatt isolierte Innovationsinitiativen zu verfolgen.</w:t>
      </w:r>
    </w:p>
    <w:p w14:paraId="7CE30549" w14:textId="1B8C6488" w:rsidR="005772DD" w:rsidRDefault="005772DD" w:rsidP="005772DD">
      <w:r w:rsidRPr="005772DD">
        <w:t xml:space="preserve">Schließlich empfiehlt es sich für Unternehmen jeder Größe, den Erfolg digitaler Marketinginnovationen nicht ausschließlich anhand kurzfristiger Kennzahlen wie Klickraten oder Reichweite zu messen. Die Studie unterstreicht, dass der eigentliche Wert von </w:t>
      </w:r>
      <w:r w:rsidR="007F7FA4">
        <w:t xml:space="preserve">digitalen Marketinginnovationen </w:t>
      </w:r>
      <w:r w:rsidRPr="005772DD">
        <w:t>in der langfristigen Steigerung des Marktwertes liegt, was eine zukunftsorientierte Erfolgsmessung</w:t>
      </w:r>
      <w:r w:rsidR="007F7FA4">
        <w:t xml:space="preserve">, </w:t>
      </w:r>
      <w:r w:rsidRPr="005772DD">
        <w:t xml:space="preserve">etwa über </w:t>
      </w:r>
      <w:proofErr w:type="spellStart"/>
      <w:proofErr w:type="gramStart"/>
      <w:r w:rsidRPr="005772DD">
        <w:t>Tobin's</w:t>
      </w:r>
      <w:proofErr w:type="spellEnd"/>
      <w:proofErr w:type="gramEnd"/>
      <w:r w:rsidRPr="005772DD">
        <w:t xml:space="preserve"> Q oder ähnliche kapitalmarktorientierte Indikatoren</w:t>
      </w:r>
      <w:r w:rsidR="007F7FA4">
        <w:t>,</w:t>
      </w:r>
      <w:r w:rsidRPr="005772DD">
        <w:t xml:space="preserve"> nahelegt</w:t>
      </w:r>
      <w:r w:rsidR="007F7FA4">
        <w:t>.</w:t>
      </w:r>
    </w:p>
    <w:p w14:paraId="129BFD4D" w14:textId="18D431E0" w:rsidR="005772DD" w:rsidRDefault="005772DD" w:rsidP="005772DD">
      <w:pPr>
        <w:pStyle w:val="berschrift1"/>
      </w:pPr>
      <w:r>
        <w:lastRenderedPageBreak/>
        <w:t>5. Fazit</w:t>
      </w:r>
    </w:p>
    <w:p w14:paraId="0B0F19AD" w14:textId="77777777" w:rsidR="005772DD" w:rsidRPr="005772DD" w:rsidRDefault="005772DD" w:rsidP="005772DD"/>
    <w:p w14:paraId="3EE27FBF" w14:textId="77777777" w:rsidR="005772DD" w:rsidRPr="00790434" w:rsidRDefault="005772DD" w:rsidP="00790434"/>
    <w:p w14:paraId="3D38FC42" w14:textId="77777777" w:rsidR="00841FCE" w:rsidRDefault="00841FCE" w:rsidP="00841FCE">
      <w:pPr>
        <w:pStyle w:val="berschrift1"/>
        <w:rPr>
          <w:snapToGrid w:val="0"/>
        </w:rPr>
      </w:pPr>
      <w:bookmarkStart w:id="6" w:name="_Toc182901700"/>
      <w:bookmarkStart w:id="7" w:name="_Toc212726437"/>
      <w:r>
        <w:rPr>
          <w:snapToGrid w:val="0"/>
        </w:rPr>
        <w:lastRenderedPageBreak/>
        <w:t>Literaturverzeichnis</w:t>
      </w:r>
      <w:bookmarkEnd w:id="6"/>
      <w:bookmarkEnd w:id="7"/>
    </w:p>
    <w:p w14:paraId="4E323BCE" w14:textId="77777777" w:rsidR="00841FCE" w:rsidRDefault="00841FCE" w:rsidP="00841FCE">
      <w:pPr>
        <w:pStyle w:val="Literatur"/>
        <w:rPr>
          <w:lang w:val="de-DE"/>
        </w:rPr>
      </w:pPr>
      <w:r>
        <w:rPr>
          <w:lang w:val="de-DE"/>
        </w:rPr>
        <w:t>Amtsblatt der Europäischen Gemeinschaften Nr. L107/4 vom 30.4.1996.</w:t>
      </w:r>
    </w:p>
    <w:p w14:paraId="782D20C7" w14:textId="77777777" w:rsidR="00841FCE" w:rsidRDefault="00841FCE" w:rsidP="00841FCE">
      <w:pPr>
        <w:pStyle w:val="Literatur"/>
        <w:rPr>
          <w:lang w:val="de-DE"/>
        </w:rPr>
      </w:pPr>
      <w:r>
        <w:rPr>
          <w:lang w:val="de-DE"/>
        </w:rPr>
        <w:t>Eurostat (2001): Unternehmen in Europa. Sechster Bericht, Themenkreis 4 Industrie, Handel und Dienstleistungen, Frankreich.</w:t>
      </w:r>
    </w:p>
    <w:p w14:paraId="764F756A" w14:textId="77777777" w:rsidR="00841FCE" w:rsidRDefault="00841FCE" w:rsidP="00841FCE">
      <w:pPr>
        <w:pStyle w:val="Literatur"/>
        <w:rPr>
          <w:lang w:val="de-DE"/>
        </w:rPr>
      </w:pPr>
      <w:r>
        <w:rPr>
          <w:lang w:val="de-DE"/>
        </w:rPr>
        <w:t>Pfohl, H. (1997): Abgrenzung der Klein- und Mittelbetriebe von Großunternehmen. In: Pfohl, H. (Hrsg.): Betriebswirtschaftslehre der Klein- und Mittelbetriebe, Berlin, S. 1-25.</w:t>
      </w:r>
    </w:p>
    <w:p w14:paraId="61585EEA" w14:textId="77777777" w:rsidR="00841FCE" w:rsidRDefault="00841FCE" w:rsidP="00841FCE">
      <w:pPr>
        <w:pStyle w:val="Literatur"/>
        <w:rPr>
          <w:lang w:val="de-DE"/>
        </w:rPr>
      </w:pPr>
      <w:r>
        <w:rPr>
          <w:lang w:val="de-DE"/>
        </w:rPr>
        <w:t>Sydow, J. (2006): Management von Netzwerkorganisationen – Zum Stand der Forschung. In: Sydow, J. (Hrsg.): Management von Netzwerk-organisationen. 4. Auflage, Wiesbaden, S. 387-472.</w:t>
      </w:r>
    </w:p>
    <w:p w14:paraId="163E1725" w14:textId="77777777" w:rsidR="00841FCE" w:rsidRDefault="00841FCE" w:rsidP="00841FCE">
      <w:pPr>
        <w:pStyle w:val="Literatur"/>
        <w:rPr>
          <w:lang w:val="de-DE"/>
        </w:rPr>
      </w:pPr>
      <w:r>
        <w:rPr>
          <w:lang w:val="de-DE"/>
        </w:rPr>
        <w:t xml:space="preserve">Theisen, M. (2006): Wissenschaftliches Arbeiten. 13. Auflage, München. </w:t>
      </w:r>
    </w:p>
    <w:p w14:paraId="670A9BA3" w14:textId="77777777" w:rsidR="00841FCE" w:rsidRDefault="00841FCE" w:rsidP="00841FCE">
      <w:pPr>
        <w:pStyle w:val="Funotentext"/>
      </w:pPr>
    </w:p>
    <w:p w14:paraId="1D01BB12" w14:textId="7AC17F8B" w:rsidR="00841FCE" w:rsidRDefault="00841FCE" w:rsidP="00841FCE">
      <w:r>
        <w:t>Wie in diesen fünf Quellen bereits angewandt, empfehlen wir, die Literaturangaben folgendermaßen zu gestalten.</w:t>
      </w:r>
      <w:r>
        <w:rPr>
          <w:rStyle w:val="Funotenzeichen"/>
        </w:rPr>
        <w:footnoteReference w:id="1"/>
      </w:r>
      <w:r>
        <w:t xml:space="preserve"> Bitte achte auch auf die einheitliche Verwendung von Klammern, Kommata und Punkten. Nachfolgend finde</w:t>
      </w:r>
      <w:r w:rsidR="00384B12">
        <w:t>st du</w:t>
      </w:r>
      <w:r>
        <w:t xml:space="preserve"> noch einige Informationen dazu, wie verschiedene Arten von Quellen im Literaturverzeichnis beschrieben werden sollten.</w:t>
      </w:r>
      <w:r w:rsidR="00E151AC">
        <w:t xml:space="preserve"> Diese müssen im Literaturverzeichnis nicht kategorisiert dargestellt werden, sondern alphabetisch hintereinander weg.</w:t>
      </w:r>
      <w:r>
        <w:t xml:space="preserve"> </w:t>
      </w:r>
    </w:p>
    <w:p w14:paraId="667268DE" w14:textId="77777777" w:rsidR="00841FCE" w:rsidRDefault="00841FCE" w:rsidP="00841FCE"/>
    <w:p w14:paraId="4E2E09DA" w14:textId="77777777" w:rsidR="00841FCE" w:rsidRDefault="00841FCE" w:rsidP="00841FCE">
      <w:proofErr w:type="gramStart"/>
      <w:r>
        <w:t>Monographien</w:t>
      </w:r>
      <w:proofErr w:type="gramEnd"/>
      <w:r>
        <w:t>:</w:t>
      </w:r>
    </w:p>
    <w:p w14:paraId="573CDE0A" w14:textId="77777777" w:rsidR="00841FCE" w:rsidRDefault="00841FCE" w:rsidP="00841FCE">
      <w:pPr>
        <w:pStyle w:val="Literatur"/>
        <w:rPr>
          <w:lang w:val="de-DE"/>
        </w:rPr>
      </w:pPr>
      <w:r>
        <w:rPr>
          <w:lang w:val="de-DE"/>
        </w:rPr>
        <w:t xml:space="preserve">Name(n), Vorname(n) [nur erster Buchstabe der/ </w:t>
      </w:r>
      <w:proofErr w:type="gramStart"/>
      <w:r>
        <w:rPr>
          <w:lang w:val="de-DE"/>
        </w:rPr>
        <w:t>des Verfasser</w:t>
      </w:r>
      <w:proofErr w:type="gramEnd"/>
      <w:r>
        <w:rPr>
          <w:lang w:val="de-DE"/>
        </w:rPr>
        <w:t>(s)] Adelstitel (falls vorhanden, z. B. von) (Erscheinungsjahr): Sachtitel – Untertitel (wenn vorhanden). Auflage (sofern es nicht die erste Auflage ist), Ort.</w:t>
      </w:r>
    </w:p>
    <w:p w14:paraId="551F0A69" w14:textId="77777777" w:rsidR="00841FCE" w:rsidRDefault="00841FCE" w:rsidP="00841FCE">
      <w:pPr>
        <w:pStyle w:val="Literatur"/>
        <w:rPr>
          <w:lang w:val="de-DE"/>
        </w:rPr>
      </w:pPr>
      <w:r>
        <w:rPr>
          <w:lang w:val="de-DE"/>
        </w:rPr>
        <w:t xml:space="preserve"> Keuper, F. (2001): Strategisches Management – Eine Einführung. 2. Auflage, München und Wien.</w:t>
      </w:r>
    </w:p>
    <w:p w14:paraId="22DF43C0" w14:textId="77777777" w:rsidR="00841FCE" w:rsidRDefault="00841FCE" w:rsidP="00841FCE">
      <w:pPr>
        <w:autoSpaceDE w:val="0"/>
        <w:autoSpaceDN w:val="0"/>
        <w:adjustRightInd w:val="0"/>
      </w:pPr>
    </w:p>
    <w:p w14:paraId="76008DE4" w14:textId="77777777" w:rsidR="00E151AC" w:rsidRDefault="00E151AC" w:rsidP="00841FCE">
      <w:pPr>
        <w:autoSpaceDE w:val="0"/>
        <w:autoSpaceDN w:val="0"/>
        <w:adjustRightInd w:val="0"/>
      </w:pPr>
    </w:p>
    <w:p w14:paraId="0E5065AF" w14:textId="77777777" w:rsidR="00E151AC" w:rsidRDefault="00E151AC" w:rsidP="00841FCE">
      <w:pPr>
        <w:autoSpaceDE w:val="0"/>
        <w:autoSpaceDN w:val="0"/>
        <w:adjustRightInd w:val="0"/>
      </w:pPr>
    </w:p>
    <w:p w14:paraId="3D5995CF" w14:textId="77777777" w:rsidR="00E151AC" w:rsidRDefault="00E151AC" w:rsidP="00841FCE">
      <w:pPr>
        <w:autoSpaceDE w:val="0"/>
        <w:autoSpaceDN w:val="0"/>
        <w:adjustRightInd w:val="0"/>
      </w:pPr>
    </w:p>
    <w:p w14:paraId="30D4F89F" w14:textId="77777777" w:rsidR="00E151AC" w:rsidRDefault="00E151AC" w:rsidP="00841FCE">
      <w:pPr>
        <w:autoSpaceDE w:val="0"/>
        <w:autoSpaceDN w:val="0"/>
        <w:adjustRightInd w:val="0"/>
      </w:pPr>
    </w:p>
    <w:p w14:paraId="6A36DBEA" w14:textId="77777777" w:rsidR="00841FCE" w:rsidRDefault="00841FCE" w:rsidP="00841FCE">
      <w:pPr>
        <w:autoSpaceDE w:val="0"/>
        <w:autoSpaceDN w:val="0"/>
        <w:adjustRightInd w:val="0"/>
      </w:pPr>
      <w:r>
        <w:t>Beiträge in Sammelwerken (Herausgeberbände):</w:t>
      </w:r>
    </w:p>
    <w:p w14:paraId="559F7E91" w14:textId="77777777" w:rsidR="00841FCE" w:rsidRDefault="00841FCE" w:rsidP="00841FCE">
      <w:pPr>
        <w:pStyle w:val="Literatur"/>
        <w:rPr>
          <w:lang w:val="de-DE"/>
        </w:rPr>
      </w:pPr>
      <w:r>
        <w:rPr>
          <w:lang w:val="de-DE"/>
        </w:rPr>
        <w:lastRenderedPageBreak/>
        <w:t xml:space="preserve">Name(n), Vorname(n) [nur erster Buchstabe der/ </w:t>
      </w:r>
      <w:proofErr w:type="gramStart"/>
      <w:r>
        <w:rPr>
          <w:lang w:val="de-DE"/>
        </w:rPr>
        <w:t>des Verfasser</w:t>
      </w:r>
      <w:proofErr w:type="gramEnd"/>
      <w:r>
        <w:rPr>
          <w:lang w:val="de-DE"/>
        </w:rPr>
        <w:t xml:space="preserve">(s)] Adelstitel (falls vorhanden, z. B. von), (Erscheinungsjahr): Titel. In: Name(n), Vorname(n) [nur erster Buchstabe der/ </w:t>
      </w:r>
      <w:proofErr w:type="gramStart"/>
      <w:r>
        <w:rPr>
          <w:lang w:val="de-DE"/>
        </w:rPr>
        <w:t>des Verfasser</w:t>
      </w:r>
      <w:proofErr w:type="gramEnd"/>
      <w:r>
        <w:rPr>
          <w:lang w:val="de-DE"/>
        </w:rPr>
        <w:t>(s)] Adelstitel (falls vorhanden, z. B. von) (Hrsg.): Titel. Erscheinungsort(e), S. xxx-</w:t>
      </w:r>
      <w:proofErr w:type="spellStart"/>
      <w:r>
        <w:rPr>
          <w:lang w:val="de-DE"/>
        </w:rPr>
        <w:t>yyy</w:t>
      </w:r>
      <w:proofErr w:type="spellEnd"/>
      <w:r>
        <w:rPr>
          <w:lang w:val="de-DE"/>
        </w:rPr>
        <w:t>.</w:t>
      </w:r>
    </w:p>
    <w:p w14:paraId="62C7635B" w14:textId="77777777" w:rsidR="00841FCE" w:rsidRDefault="00841FCE" w:rsidP="00841FCE">
      <w:pPr>
        <w:pStyle w:val="Literatur"/>
        <w:rPr>
          <w:lang w:val="de-DE"/>
        </w:rPr>
      </w:pPr>
      <w:r>
        <w:rPr>
          <w:lang w:val="de-DE"/>
        </w:rPr>
        <w:t xml:space="preserve">Schnedlitz, P./ </w:t>
      </w:r>
      <w:proofErr w:type="spellStart"/>
      <w:r>
        <w:rPr>
          <w:lang w:val="de-DE"/>
        </w:rPr>
        <w:t>Kotzab</w:t>
      </w:r>
      <w:proofErr w:type="spellEnd"/>
      <w:r>
        <w:rPr>
          <w:lang w:val="de-DE"/>
        </w:rPr>
        <w:t>, H./ Teller, C. (2004): Die Kunden als Erfüllungsgehilfen des stationären Einzelhandels bei der physischen Distribution von Waren. In: Trommsdorff, V. (Hrsg.): Handelsforschung 2004. Neue Erkenntnisse für Praxis und Wissenschaft des Handels. Köln, S. 87-106.</w:t>
      </w:r>
    </w:p>
    <w:p w14:paraId="163B7C5E" w14:textId="77777777" w:rsidR="00841FCE" w:rsidRDefault="00841FCE" w:rsidP="00841FCE">
      <w:pPr>
        <w:autoSpaceDE w:val="0"/>
        <w:autoSpaceDN w:val="0"/>
        <w:adjustRightInd w:val="0"/>
        <w:rPr>
          <w:rFonts w:cs="Arial"/>
        </w:rPr>
      </w:pPr>
    </w:p>
    <w:p w14:paraId="031EE19E" w14:textId="77777777" w:rsidR="00841FCE" w:rsidRDefault="00841FCE" w:rsidP="00841FCE">
      <w:pPr>
        <w:autoSpaceDE w:val="0"/>
        <w:autoSpaceDN w:val="0"/>
        <w:adjustRightInd w:val="0"/>
      </w:pPr>
      <w:r>
        <w:t>Aufsätze in Zeitschriften:</w:t>
      </w:r>
    </w:p>
    <w:p w14:paraId="52C2181B" w14:textId="77777777" w:rsidR="00841FCE" w:rsidRDefault="00841FCE" w:rsidP="00841FCE">
      <w:pPr>
        <w:pStyle w:val="Literatur"/>
        <w:rPr>
          <w:lang w:val="de-DE"/>
        </w:rPr>
      </w:pPr>
      <w:r>
        <w:rPr>
          <w:lang w:val="de-DE"/>
        </w:rPr>
        <w:t xml:space="preserve">Name(n), Vorname(n) [nur erster Buchstabe der/ </w:t>
      </w:r>
      <w:proofErr w:type="gramStart"/>
      <w:r>
        <w:rPr>
          <w:lang w:val="de-DE"/>
        </w:rPr>
        <w:t>des Verfasser</w:t>
      </w:r>
      <w:proofErr w:type="gramEnd"/>
      <w:r>
        <w:rPr>
          <w:lang w:val="de-DE"/>
        </w:rPr>
        <w:t>(s)] Adelstitel (falls vorhanden, z. B. von) (Erscheinungsjahr): Titel. In: Zeitschriftentitel, Jahrgang (Heftnummer), S. xxx-</w:t>
      </w:r>
      <w:proofErr w:type="spellStart"/>
      <w:r>
        <w:rPr>
          <w:lang w:val="de-DE"/>
        </w:rPr>
        <w:t>yyyy</w:t>
      </w:r>
      <w:proofErr w:type="spellEnd"/>
      <w:r>
        <w:rPr>
          <w:lang w:val="de-DE"/>
        </w:rPr>
        <w:t>.</w:t>
      </w:r>
    </w:p>
    <w:p w14:paraId="7B239601" w14:textId="77777777" w:rsidR="00841FCE" w:rsidRDefault="00841FCE" w:rsidP="00841FCE">
      <w:pPr>
        <w:pStyle w:val="Literatur"/>
        <w:rPr>
          <w:lang w:val="de-DE"/>
        </w:rPr>
      </w:pPr>
      <w:r>
        <w:rPr>
          <w:lang w:val="de-DE"/>
        </w:rPr>
        <w:t xml:space="preserve">Grunert, J./ Weber, M. (2007): Die Bedeutung </w:t>
      </w:r>
      <w:proofErr w:type="gramStart"/>
      <w:r>
        <w:rPr>
          <w:lang w:val="de-DE"/>
        </w:rPr>
        <w:t>potentieller</w:t>
      </w:r>
      <w:proofErr w:type="gramEnd"/>
      <w:r>
        <w:rPr>
          <w:lang w:val="de-DE"/>
        </w:rPr>
        <w:t xml:space="preserve"> Einflussfaktoren auf die Höhe der Recovery Rate von Bankkrediten an kleine und mittlere Unternehmen. Eine Umfrage in der Bankpraxis. In: Zeitschrift für Betriebswirtschaft, 77 (7/8), S. 711-734.</w:t>
      </w:r>
    </w:p>
    <w:p w14:paraId="1F3E9F2C" w14:textId="77777777" w:rsidR="00841FCE" w:rsidRDefault="00841FCE" w:rsidP="00841FCE">
      <w:pPr>
        <w:pStyle w:val="Literatur"/>
      </w:pPr>
      <w:r>
        <w:t>McNair, M. (1931): Trends in Large Scale Retailing. In: Harvard Business Review, 10 (1), S. 30-39.</w:t>
      </w:r>
    </w:p>
    <w:p w14:paraId="406D29BC" w14:textId="77777777" w:rsidR="00841FCE" w:rsidRDefault="00841FCE" w:rsidP="00841FCE">
      <w:pPr>
        <w:autoSpaceDE w:val="0"/>
        <w:autoSpaceDN w:val="0"/>
        <w:adjustRightInd w:val="0"/>
        <w:rPr>
          <w:rFonts w:cs="Arial"/>
          <w:lang w:val="en-GB"/>
        </w:rPr>
      </w:pPr>
    </w:p>
    <w:p w14:paraId="36E6E777" w14:textId="77777777" w:rsidR="00841FCE" w:rsidRDefault="00841FCE" w:rsidP="00841FCE">
      <w:pPr>
        <w:autoSpaceDE w:val="0"/>
        <w:autoSpaceDN w:val="0"/>
        <w:adjustRightInd w:val="0"/>
        <w:rPr>
          <w:rFonts w:cs="Arial"/>
        </w:rPr>
      </w:pPr>
      <w:r>
        <w:t xml:space="preserve">Publikationen auf </w:t>
      </w:r>
      <w:proofErr w:type="spellStart"/>
      <w:r>
        <w:t>CD-Rom</w:t>
      </w:r>
      <w:proofErr w:type="spellEnd"/>
      <w:r>
        <w:rPr>
          <w:rFonts w:cs="Arial"/>
        </w:rPr>
        <w:t xml:space="preserve"> sind zu behandeln wie Bücher/ Sammelwerke oder Beiträge in Sammelwerken und mit den Produktionsangaben zu versehen:</w:t>
      </w:r>
    </w:p>
    <w:p w14:paraId="6F5EBDB6" w14:textId="4083196F" w:rsidR="00841FCE" w:rsidRDefault="00841FCE" w:rsidP="000E4D74">
      <w:pPr>
        <w:pStyle w:val="Literatur"/>
      </w:pPr>
      <w:r>
        <w:t xml:space="preserve">Schnedlitz, P./ Teller, C./ </w:t>
      </w:r>
      <w:proofErr w:type="spellStart"/>
      <w:r>
        <w:t>Kotzab</w:t>
      </w:r>
      <w:proofErr w:type="spellEnd"/>
      <w:r>
        <w:t>, H. (2002): Logistical Challenges for Introducing a New Currency - the Euro and Its Consequences. In: Hosni, Y./ Khalil, T.  (</w:t>
      </w:r>
      <w:proofErr w:type="spellStart"/>
      <w:r>
        <w:t>Hrsg</w:t>
      </w:r>
      <w:proofErr w:type="spellEnd"/>
      <w:r>
        <w:t xml:space="preserve">.): Drive Towards the Internet Economy - Opportunities &amp; Challenges for Developed and Developing Regions of the World. 11th International Conference on Management of Technology. Miami, </w:t>
      </w:r>
      <w:proofErr w:type="spellStart"/>
      <w:r>
        <w:t>CD-Rom</w:t>
      </w:r>
      <w:proofErr w:type="spellEnd"/>
      <w:r>
        <w:t xml:space="preserve"> (ISBN 0-9712964-4-8).</w:t>
      </w:r>
    </w:p>
    <w:p w14:paraId="06BD5B6A" w14:textId="77777777" w:rsidR="00927482" w:rsidRDefault="00927482" w:rsidP="000E4D74">
      <w:pPr>
        <w:pStyle w:val="Literatur"/>
      </w:pPr>
    </w:p>
    <w:p w14:paraId="2E4EEC11" w14:textId="77777777" w:rsidR="00927482" w:rsidRDefault="00927482" w:rsidP="000E4D74">
      <w:pPr>
        <w:pStyle w:val="Literatur"/>
      </w:pPr>
    </w:p>
    <w:p w14:paraId="6942700F" w14:textId="6BACD443" w:rsidR="00927482" w:rsidRPr="00927482" w:rsidRDefault="00927482" w:rsidP="000E4D74">
      <w:pPr>
        <w:pStyle w:val="Literatur"/>
        <w:rPr>
          <w:highlight w:val="yellow"/>
        </w:rPr>
      </w:pPr>
      <w:r w:rsidRPr="00927482">
        <w:rPr>
          <w:highlight w:val="yellow"/>
        </w:rPr>
        <w:t xml:space="preserve">Rust, R.T., Ambler, T., Carpenter, G.S., Kumar, V. und Srivastava, R.K. (2004) 'Measuring marketing productivity: Current knowledge and future directions', </w:t>
      </w:r>
      <w:r w:rsidRPr="00927482">
        <w:rPr>
          <w:rStyle w:val="Hervorhebung"/>
          <w:highlight w:val="yellow"/>
        </w:rPr>
        <w:t>Journal of Marketing</w:t>
      </w:r>
      <w:r w:rsidRPr="00927482">
        <w:rPr>
          <w:highlight w:val="yellow"/>
        </w:rPr>
        <w:t>, 68(4), S. 76–89</w:t>
      </w:r>
    </w:p>
    <w:p w14:paraId="7A4E3823" w14:textId="477750E6" w:rsidR="00927482" w:rsidRDefault="00927482" w:rsidP="000E4D74">
      <w:pPr>
        <w:pStyle w:val="Literatur"/>
      </w:pPr>
      <w:r w:rsidRPr="00927482">
        <w:rPr>
          <w:highlight w:val="yellow"/>
        </w:rPr>
        <w:lastRenderedPageBreak/>
        <w:t xml:space="preserve">Liang, T.P. und Turban, E. (2011) 'Introduction to the special issue social commerce: A research framework for social commerce', </w:t>
      </w:r>
      <w:r w:rsidRPr="00927482">
        <w:rPr>
          <w:rStyle w:val="Hervorhebung"/>
          <w:highlight w:val="yellow"/>
        </w:rPr>
        <w:t>International Journal of Electronic Commerce</w:t>
      </w:r>
      <w:r w:rsidRPr="00927482">
        <w:rPr>
          <w:highlight w:val="yellow"/>
        </w:rPr>
        <w:t>, 16(2), S. 5–14.</w:t>
      </w:r>
    </w:p>
    <w:p w14:paraId="3179FB9F" w14:textId="2DCC7ADE" w:rsidR="00790434" w:rsidRDefault="00790434" w:rsidP="000E4D74">
      <w:pPr>
        <w:pStyle w:val="Literatur"/>
      </w:pPr>
      <w:r w:rsidRPr="00790434">
        <w:rPr>
          <w:highlight w:val="yellow"/>
        </w:rPr>
        <w:t>https://www.wipo.int/web-publications/global-innovation-index-2025/en/gii-2025-at-a-glance.html</w:t>
      </w:r>
    </w:p>
    <w:p w14:paraId="20A0D15A" w14:textId="77777777" w:rsidR="00841FCE" w:rsidRPr="00D12C80" w:rsidRDefault="00841FCE" w:rsidP="00841FCE">
      <w:pPr>
        <w:spacing w:line="240" w:lineRule="auto"/>
        <w:jc w:val="left"/>
        <w:rPr>
          <w:rFonts w:cs="Arial"/>
          <w:lang w:val="en-US"/>
        </w:rPr>
      </w:pPr>
      <w:r w:rsidRPr="00D12C80">
        <w:rPr>
          <w:rFonts w:cs="Arial"/>
          <w:lang w:val="en-US"/>
        </w:rPr>
        <w:br w:type="page"/>
      </w:r>
    </w:p>
    <w:p w14:paraId="548C2244" w14:textId="77777777" w:rsidR="00841FCE" w:rsidRDefault="00841FCE" w:rsidP="00841FCE">
      <w:pPr>
        <w:autoSpaceDE w:val="0"/>
        <w:autoSpaceDN w:val="0"/>
        <w:adjustRightInd w:val="0"/>
        <w:rPr>
          <w:rFonts w:cs="Arial"/>
          <w:b/>
          <w:sz w:val="28"/>
          <w:szCs w:val="28"/>
        </w:rPr>
      </w:pPr>
      <w:r>
        <w:rPr>
          <w:rFonts w:cs="Arial"/>
          <w:b/>
          <w:sz w:val="28"/>
          <w:szCs w:val="28"/>
        </w:rPr>
        <w:lastRenderedPageBreak/>
        <w:t>Internetquellen</w:t>
      </w:r>
    </w:p>
    <w:p w14:paraId="1F0B69DD" w14:textId="77777777" w:rsidR="00841FCE" w:rsidRDefault="00841FCE" w:rsidP="00841FCE">
      <w:pPr>
        <w:pStyle w:val="Literatur"/>
        <w:jc w:val="left"/>
        <w:rPr>
          <w:lang w:val="de-DE"/>
        </w:rPr>
      </w:pPr>
      <w:r>
        <w:rPr>
          <w:lang w:val="de-DE"/>
        </w:rPr>
        <w:t>o. V.: Schema://Internet-Protokoll-Teile/ Pfad [Stand xx.xx.20xx].</w:t>
      </w:r>
    </w:p>
    <w:p w14:paraId="13E910FD" w14:textId="012CF20B" w:rsidR="00841FCE" w:rsidRDefault="00841FCE" w:rsidP="00841FCE">
      <w:pPr>
        <w:pStyle w:val="Literatur"/>
        <w:ind w:left="426" w:hanging="426"/>
        <w:jc w:val="left"/>
      </w:pPr>
      <w:r>
        <w:t xml:space="preserve">o. V.: </w:t>
      </w:r>
      <w:proofErr w:type="gramStart"/>
      <w:r>
        <w:t>http://www.kmuforschung.at/de/Wirtschaftsdaten/tabelle_handel.htm  [Stand  02.01.2009</w:t>
      </w:r>
      <w:proofErr w:type="gramEnd"/>
      <w:r>
        <w:t>].</w:t>
      </w:r>
    </w:p>
    <w:p w14:paraId="6F3D7B3F" w14:textId="77777777" w:rsidR="00841FCE" w:rsidRDefault="00841FCE" w:rsidP="00841FCE">
      <w:pPr>
        <w:pStyle w:val="Literatur"/>
        <w:ind w:left="426" w:hanging="426"/>
        <w:jc w:val="left"/>
      </w:pPr>
    </w:p>
    <w:p w14:paraId="24AE08B7" w14:textId="06034001" w:rsidR="00841FCE" w:rsidRPr="00D61783" w:rsidRDefault="00841FCE" w:rsidP="00C70671">
      <w:r>
        <w:t>Publikationen im Internet sind zu behandeln wie die zuvor genannten Quellen, jedoch mit URL und weiteren Identifizierungsangaben zu versehen. Bitte führe genutzte Internetquellen in einer gesonderten Liste auf. Übersteigt die Länge des Pfades zwei Zeilen, d</w:t>
      </w:r>
      <w:r w:rsidR="00452A1C">
        <w:t>arfst du</w:t>
      </w:r>
      <w:r>
        <w:t xml:space="preserve"> diesen abkürzen. </w:t>
      </w:r>
      <w:r w:rsidRPr="00D61783">
        <w:t xml:space="preserve">Wenn </w:t>
      </w:r>
      <w:r w:rsidR="00452A1C">
        <w:t>du</w:t>
      </w:r>
      <w:r w:rsidRPr="00D61783">
        <w:t xml:space="preserve"> Internetquellen zitier</w:t>
      </w:r>
      <w:r w:rsidR="00452A1C">
        <w:t>st</w:t>
      </w:r>
      <w:r w:rsidRPr="00D61783">
        <w:t xml:space="preserve">, ist die wissenschaftliche Seriosität nicht immer im gleichen Maße gegeben wie bei Printquellen, hinter denen häufig wissenschaftliche Fachzeitschriften oder Fachverlage stehen. </w:t>
      </w:r>
      <w:r w:rsidR="00452A1C">
        <w:t>Du</w:t>
      </w:r>
      <w:r w:rsidRPr="00D61783">
        <w:t xml:space="preserve"> sollte</w:t>
      </w:r>
      <w:r w:rsidR="00452A1C">
        <w:t>st</w:t>
      </w:r>
      <w:r w:rsidRPr="00D61783">
        <w:t xml:space="preserve"> also darauf achten, welche Internetquellen</w:t>
      </w:r>
      <w:r w:rsidR="00452A1C">
        <w:t xml:space="preserve"> du</w:t>
      </w:r>
      <w:r w:rsidRPr="00D61783">
        <w:t xml:space="preserve"> von wem in welchem Zusammenhang zitier</w:t>
      </w:r>
      <w:r w:rsidR="00452A1C">
        <w:t>st</w:t>
      </w:r>
      <w:r w:rsidRPr="00D61783">
        <w:t>.</w:t>
      </w:r>
    </w:p>
    <w:p w14:paraId="6AD2742B" w14:textId="77777777" w:rsidR="00BB4832" w:rsidRPr="000E4D74" w:rsidRDefault="00BB4832" w:rsidP="00BB4AD4">
      <w:pPr>
        <w:jc w:val="center"/>
        <w:rPr>
          <w:sz w:val="16"/>
          <w:szCs w:val="16"/>
        </w:rPr>
      </w:pPr>
    </w:p>
    <w:p w14:paraId="26BF80EC" w14:textId="77777777" w:rsidR="00BB4832" w:rsidRPr="000E4D74" w:rsidRDefault="00BB4832" w:rsidP="00BB4AD4">
      <w:pPr>
        <w:jc w:val="center"/>
        <w:rPr>
          <w:sz w:val="16"/>
          <w:szCs w:val="16"/>
        </w:rPr>
      </w:pPr>
    </w:p>
    <w:p w14:paraId="1BC19569" w14:textId="77777777" w:rsidR="00BB4832" w:rsidRPr="000E4D74" w:rsidRDefault="00BB4832" w:rsidP="00BB4AD4">
      <w:pPr>
        <w:jc w:val="center"/>
        <w:rPr>
          <w:sz w:val="16"/>
          <w:szCs w:val="16"/>
        </w:rPr>
      </w:pPr>
    </w:p>
    <w:p w14:paraId="6C8D8F0B" w14:textId="77777777" w:rsidR="00BB4832" w:rsidRPr="000E4D74" w:rsidRDefault="00BB4832" w:rsidP="00BB4AD4">
      <w:pPr>
        <w:jc w:val="center"/>
        <w:rPr>
          <w:sz w:val="16"/>
          <w:szCs w:val="16"/>
        </w:rPr>
      </w:pPr>
    </w:p>
    <w:p w14:paraId="0DB59827" w14:textId="77777777" w:rsidR="00BB4832" w:rsidRPr="000E4D74" w:rsidRDefault="00BB4832" w:rsidP="00BB4AD4">
      <w:pPr>
        <w:jc w:val="center"/>
        <w:rPr>
          <w:sz w:val="16"/>
          <w:szCs w:val="16"/>
        </w:rPr>
      </w:pPr>
    </w:p>
    <w:p w14:paraId="0A9ACD17" w14:textId="77777777" w:rsidR="00BB4832" w:rsidRPr="000E4D74" w:rsidRDefault="00BB4832" w:rsidP="00BB4AD4">
      <w:pPr>
        <w:jc w:val="center"/>
        <w:rPr>
          <w:sz w:val="16"/>
          <w:szCs w:val="16"/>
        </w:rPr>
      </w:pPr>
    </w:p>
    <w:p w14:paraId="6FBA9251" w14:textId="77777777" w:rsidR="00BB4832" w:rsidRPr="000E4D74" w:rsidRDefault="00BB4832" w:rsidP="00BB4AD4">
      <w:pPr>
        <w:jc w:val="center"/>
        <w:rPr>
          <w:sz w:val="16"/>
          <w:szCs w:val="16"/>
        </w:rPr>
      </w:pPr>
    </w:p>
    <w:p w14:paraId="638C18A5" w14:textId="77777777" w:rsidR="00BB4832" w:rsidRPr="000E4D74" w:rsidRDefault="00BB4832" w:rsidP="00BB4AD4">
      <w:pPr>
        <w:jc w:val="center"/>
        <w:rPr>
          <w:sz w:val="16"/>
          <w:szCs w:val="16"/>
        </w:rPr>
      </w:pPr>
    </w:p>
    <w:p w14:paraId="109A6F73" w14:textId="77777777" w:rsidR="00BB4832" w:rsidRPr="000E4D74" w:rsidRDefault="00BB4832" w:rsidP="00BB4AD4">
      <w:pPr>
        <w:jc w:val="center"/>
        <w:rPr>
          <w:sz w:val="16"/>
          <w:szCs w:val="16"/>
        </w:rPr>
      </w:pPr>
    </w:p>
    <w:p w14:paraId="0FB24BC6" w14:textId="77777777" w:rsidR="00BB4832" w:rsidRPr="000E4D74" w:rsidRDefault="00BB4832" w:rsidP="00BB4AD4">
      <w:pPr>
        <w:jc w:val="center"/>
        <w:rPr>
          <w:sz w:val="16"/>
          <w:szCs w:val="16"/>
        </w:rPr>
      </w:pPr>
    </w:p>
    <w:p w14:paraId="461198DC" w14:textId="77777777" w:rsidR="00BB4832" w:rsidRPr="000E4D74" w:rsidRDefault="00BB4832" w:rsidP="00BB4AD4">
      <w:pPr>
        <w:jc w:val="center"/>
        <w:rPr>
          <w:sz w:val="16"/>
          <w:szCs w:val="16"/>
        </w:rPr>
      </w:pPr>
    </w:p>
    <w:p w14:paraId="2C221706" w14:textId="77777777" w:rsidR="00BB4832" w:rsidRPr="000E4D74" w:rsidRDefault="00BB4832" w:rsidP="00BB4AD4">
      <w:pPr>
        <w:jc w:val="center"/>
        <w:rPr>
          <w:sz w:val="16"/>
          <w:szCs w:val="16"/>
        </w:rPr>
      </w:pPr>
    </w:p>
    <w:p w14:paraId="32DA189F" w14:textId="77777777" w:rsidR="00BB4832" w:rsidRPr="000E4D74" w:rsidRDefault="00BB4832" w:rsidP="00BB4AD4">
      <w:pPr>
        <w:jc w:val="center"/>
        <w:rPr>
          <w:sz w:val="16"/>
          <w:szCs w:val="16"/>
        </w:rPr>
      </w:pPr>
    </w:p>
    <w:p w14:paraId="73EF64A0" w14:textId="77777777" w:rsidR="00BB4832" w:rsidRPr="000E4D74" w:rsidRDefault="00BB4832" w:rsidP="00BB4AD4">
      <w:pPr>
        <w:jc w:val="center"/>
        <w:rPr>
          <w:sz w:val="16"/>
          <w:szCs w:val="16"/>
        </w:rPr>
      </w:pPr>
    </w:p>
    <w:p w14:paraId="41F4384C" w14:textId="77777777" w:rsidR="00BB4832" w:rsidRPr="000E4D74" w:rsidRDefault="00BB4832" w:rsidP="00BB4AD4">
      <w:pPr>
        <w:jc w:val="center"/>
        <w:rPr>
          <w:sz w:val="16"/>
          <w:szCs w:val="16"/>
        </w:rPr>
      </w:pPr>
    </w:p>
    <w:p w14:paraId="5120A449" w14:textId="77777777" w:rsidR="00BB4832" w:rsidRPr="000E4D74" w:rsidRDefault="00BB4832" w:rsidP="00BB4AD4">
      <w:pPr>
        <w:jc w:val="center"/>
        <w:rPr>
          <w:sz w:val="16"/>
          <w:szCs w:val="16"/>
        </w:rPr>
      </w:pPr>
    </w:p>
    <w:p w14:paraId="6C4B54D7" w14:textId="77777777" w:rsidR="00BB4832" w:rsidRPr="000E4D74" w:rsidRDefault="00BB4832" w:rsidP="00BB4AD4">
      <w:pPr>
        <w:jc w:val="center"/>
        <w:rPr>
          <w:sz w:val="16"/>
          <w:szCs w:val="16"/>
        </w:rPr>
      </w:pPr>
    </w:p>
    <w:p w14:paraId="2102B185" w14:textId="77777777" w:rsidR="00BB4832" w:rsidRPr="000E4D74" w:rsidRDefault="00BB4832" w:rsidP="00BB4AD4">
      <w:pPr>
        <w:jc w:val="center"/>
        <w:rPr>
          <w:sz w:val="16"/>
          <w:szCs w:val="16"/>
        </w:rPr>
      </w:pPr>
    </w:p>
    <w:p w14:paraId="48590984" w14:textId="77777777" w:rsidR="00BB4832" w:rsidRPr="000E4D74" w:rsidRDefault="00BB4832" w:rsidP="00BB4AD4">
      <w:pPr>
        <w:jc w:val="center"/>
        <w:rPr>
          <w:sz w:val="16"/>
          <w:szCs w:val="16"/>
        </w:rPr>
      </w:pPr>
    </w:p>
    <w:p w14:paraId="1ACEEDFD" w14:textId="77777777" w:rsidR="00BB4832" w:rsidRPr="000E4D74" w:rsidRDefault="00BB4832" w:rsidP="00BB4AD4">
      <w:pPr>
        <w:jc w:val="center"/>
        <w:rPr>
          <w:sz w:val="16"/>
          <w:szCs w:val="16"/>
        </w:rPr>
      </w:pPr>
    </w:p>
    <w:p w14:paraId="0F8CBF02" w14:textId="77777777" w:rsidR="00BB4832" w:rsidRPr="000E4D74" w:rsidRDefault="00BB4832" w:rsidP="00BB4AD4">
      <w:pPr>
        <w:jc w:val="center"/>
        <w:rPr>
          <w:sz w:val="16"/>
          <w:szCs w:val="16"/>
        </w:rPr>
      </w:pPr>
    </w:p>
    <w:p w14:paraId="258856C4" w14:textId="77777777" w:rsidR="00BB4832" w:rsidRPr="000E4D74" w:rsidRDefault="00BB4832" w:rsidP="00BB4AD4">
      <w:pPr>
        <w:jc w:val="center"/>
        <w:rPr>
          <w:sz w:val="16"/>
          <w:szCs w:val="16"/>
        </w:rPr>
      </w:pPr>
    </w:p>
    <w:p w14:paraId="7A756907" w14:textId="77777777" w:rsidR="00BB4832" w:rsidRPr="000E4D74" w:rsidRDefault="00BB4832" w:rsidP="00BB4AD4">
      <w:pPr>
        <w:jc w:val="center"/>
        <w:rPr>
          <w:sz w:val="16"/>
          <w:szCs w:val="16"/>
        </w:rPr>
      </w:pPr>
    </w:p>
    <w:p w14:paraId="38CE70C5" w14:textId="77777777" w:rsidR="00BB4832" w:rsidRPr="000E4D74" w:rsidRDefault="00BB4832" w:rsidP="00BB4AD4">
      <w:pPr>
        <w:jc w:val="center"/>
        <w:rPr>
          <w:sz w:val="16"/>
          <w:szCs w:val="16"/>
        </w:rPr>
      </w:pPr>
    </w:p>
    <w:p w14:paraId="62C90391" w14:textId="77777777" w:rsidR="00BB4832" w:rsidRPr="000E4D74" w:rsidRDefault="00BB4832" w:rsidP="00BB4AD4">
      <w:pPr>
        <w:jc w:val="center"/>
        <w:rPr>
          <w:sz w:val="16"/>
          <w:szCs w:val="16"/>
        </w:rPr>
      </w:pPr>
    </w:p>
    <w:p w14:paraId="549AAEE3" w14:textId="77777777" w:rsidR="00BB4832" w:rsidRPr="000E4D74" w:rsidRDefault="00BB4832" w:rsidP="00BB4AD4">
      <w:pPr>
        <w:jc w:val="center"/>
        <w:rPr>
          <w:sz w:val="16"/>
          <w:szCs w:val="16"/>
        </w:rPr>
      </w:pPr>
    </w:p>
    <w:p w14:paraId="28A2867E" w14:textId="4EA728C8" w:rsidR="00BB4AD4" w:rsidRDefault="00BB4AD4" w:rsidP="00BB4AD4">
      <w:pPr>
        <w:jc w:val="center"/>
        <w:rPr>
          <w:color w:val="FF0000"/>
          <w:sz w:val="16"/>
          <w:szCs w:val="16"/>
        </w:rPr>
      </w:pPr>
      <w:r>
        <w:rPr>
          <w:color w:val="FF0000"/>
          <w:sz w:val="16"/>
          <w:szCs w:val="16"/>
        </w:rPr>
        <w:t xml:space="preserve">Achtung: Von dieser Seite auf die nächste ist erneut ein Abschnittswechsel eingefügt, da dort die römische </w:t>
      </w:r>
      <w:r w:rsidR="00BB4832">
        <w:rPr>
          <w:color w:val="FF0000"/>
          <w:sz w:val="16"/>
          <w:szCs w:val="16"/>
        </w:rPr>
        <w:t>S</w:t>
      </w:r>
      <w:r>
        <w:rPr>
          <w:color w:val="FF0000"/>
          <w:sz w:val="16"/>
          <w:szCs w:val="16"/>
        </w:rPr>
        <w:t xml:space="preserve">eitennummerierung beginnt. Auch diesen Abschnittswechsel </w:t>
      </w:r>
      <w:r w:rsidR="000E4D74">
        <w:rPr>
          <w:color w:val="FF0000"/>
          <w:sz w:val="16"/>
          <w:szCs w:val="16"/>
        </w:rPr>
        <w:t xml:space="preserve">sollst du </w:t>
      </w:r>
      <w:r>
        <w:rPr>
          <w:color w:val="FF0000"/>
          <w:sz w:val="16"/>
          <w:szCs w:val="16"/>
        </w:rPr>
        <w:t>nicht löschen!</w:t>
      </w:r>
    </w:p>
    <w:p w14:paraId="0A52EC25" w14:textId="77777777" w:rsidR="00BB4832" w:rsidRDefault="00BB4832" w:rsidP="00BB4AD4">
      <w:pPr>
        <w:jc w:val="center"/>
        <w:rPr>
          <w:color w:val="FF0000"/>
          <w:sz w:val="16"/>
          <w:szCs w:val="16"/>
        </w:rPr>
        <w:sectPr w:rsidR="00BB4832" w:rsidSect="002F59D2">
          <w:footerReference w:type="default" r:id="rId15"/>
          <w:footerReference w:type="first" r:id="rId16"/>
          <w:pgSz w:w="11906" w:h="16838" w:code="9"/>
          <w:pgMar w:top="1701" w:right="1701" w:bottom="1418" w:left="2268" w:header="567" w:footer="851" w:gutter="0"/>
          <w:pgNumType w:start="1"/>
          <w:cols w:space="720"/>
        </w:sectPr>
      </w:pPr>
    </w:p>
    <w:p w14:paraId="2E978BEB" w14:textId="14753AD5" w:rsidR="00841FCE" w:rsidRDefault="00841FCE" w:rsidP="00E151AC">
      <w:pPr>
        <w:jc w:val="left"/>
        <w:rPr>
          <w:snapToGrid w:val="0"/>
        </w:rPr>
      </w:pPr>
      <w:bookmarkStart w:id="8" w:name="_Toc212726438"/>
      <w:r w:rsidRPr="002F59D2">
        <w:rPr>
          <w:rStyle w:val="berschrift1Zchn"/>
        </w:rPr>
        <w:lastRenderedPageBreak/>
        <w:t>Anhang</w:t>
      </w:r>
      <w:bookmarkEnd w:id="8"/>
      <w:r>
        <w:rPr>
          <w:snapToGrid w:val="0"/>
        </w:rPr>
        <w:t xml:space="preserve"> </w:t>
      </w:r>
      <w:r>
        <w:rPr>
          <w:snapToGrid w:val="0"/>
          <w:color w:val="FF0000"/>
          <w:szCs w:val="22"/>
        </w:rPr>
        <w:t>- nur wenn benötigt, sonst löschen!</w:t>
      </w:r>
    </w:p>
    <w:p w14:paraId="2324459A" w14:textId="77777777" w:rsidR="00C70671" w:rsidRDefault="00841FCE" w:rsidP="00E151AC">
      <w:r>
        <w:t xml:space="preserve">In den Anhang kommen Informationen zur Arbeit, die zu umfangreich sind, um sie in die eigentlichen Kapitel aufzunehmen. Die Seiten des Anhangs werden mit römischen Ziffern fortlaufend nummeriert. </w:t>
      </w:r>
    </w:p>
    <w:p w14:paraId="230E1682" w14:textId="77777777" w:rsidR="00C70671" w:rsidRDefault="00C70671" w:rsidP="00C70671"/>
    <w:p w14:paraId="22C1DADC" w14:textId="418EEC5A" w:rsidR="00841FCE" w:rsidRDefault="00841FCE" w:rsidP="00C70671">
      <w:r w:rsidRPr="00FB754D">
        <w:t>Hinweis: Alle für die Bearbeitung des Themas wesentlichen Teile gehören in den Text. Der Anhang ist nicht dahingehend zu „missbrauchen“, die Seiten</w:t>
      </w:r>
      <w:r>
        <w:t>-</w:t>
      </w:r>
      <w:r w:rsidRPr="00FB754D">
        <w:t>beschränkung durch Verlagerung von Textpassagen oder Abbildungen in den Anhang zu unterlaufen.</w:t>
      </w:r>
    </w:p>
    <w:sectPr w:rsidR="00841FCE" w:rsidSect="00D12C80">
      <w:pgSz w:w="11906" w:h="16838" w:code="9"/>
      <w:pgMar w:top="1701" w:right="1701" w:bottom="1418" w:left="2268" w:header="567" w:footer="851" w:gutter="0"/>
      <w:pgNumType w:fmt="upperRoman" w:start="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2034D" w14:textId="77777777" w:rsidR="00243C88" w:rsidRDefault="00243C88" w:rsidP="00841FCE">
      <w:pPr>
        <w:spacing w:line="240" w:lineRule="auto"/>
      </w:pPr>
      <w:r>
        <w:separator/>
      </w:r>
    </w:p>
  </w:endnote>
  <w:endnote w:type="continuationSeparator" w:id="0">
    <w:p w14:paraId="7A9F8516" w14:textId="77777777" w:rsidR="00243C88" w:rsidRDefault="00243C88" w:rsidP="00841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00000000" w:usb2="0001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20B0604020202020204"/>
    <w:charset w:val="00"/>
    <w:family w:val="auto"/>
    <w:pitch w:val="variable"/>
    <w:sig w:usb0="E00002FF" w:usb1="5000205A" w:usb2="00000000" w:usb3="00000000" w:csb0="0000019F" w:csb1="00000000"/>
  </w:font>
  <w:font w:name="FuturaLight">
    <w:altName w:val="Arial Narrow"/>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D5DB" w14:textId="77777777" w:rsidR="00841FCE" w:rsidRDefault="00841FCE" w:rsidP="00BB4832">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52EEFADD" w14:textId="77777777" w:rsidR="00841FCE" w:rsidRDefault="00841FCE">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9CC8B" w14:textId="77777777" w:rsidR="00841FCE" w:rsidRDefault="00841FCE">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9BA0" w14:textId="77777777" w:rsidR="00841FCE" w:rsidRDefault="00841FCE">
    <w:pPr>
      <w:pStyle w:val="Fuzeile"/>
      <w:tabs>
        <w:tab w:val="clear" w:pos="9072"/>
        <w:tab w:val="right" w:pos="8505"/>
      </w:tabs>
      <w:rPr>
        <w:lang w:val="en-GB"/>
      </w:rPr>
    </w:pPr>
    <w:r>
      <w:rPr>
        <w:sz w:val="16"/>
      </w:rPr>
      <w:tab/>
    </w:r>
    <w:r>
      <w:rPr>
        <w:sz w:val="16"/>
      </w:rPr>
      <w:tab/>
      <w:t xml:space="preserve">Seite </w:t>
    </w:r>
    <w:r>
      <w:rPr>
        <w:sz w:val="16"/>
      </w:rPr>
      <w:fldChar w:fldCharType="begin"/>
    </w:r>
    <w:r>
      <w:rPr>
        <w:sz w:val="16"/>
      </w:rPr>
      <w:instrText xml:space="preserve"> PAGE </w:instrText>
    </w:r>
    <w:r>
      <w:rPr>
        <w:sz w:val="16"/>
      </w:rPr>
      <w:fldChar w:fldCharType="separate"/>
    </w:r>
    <w:r>
      <w:rPr>
        <w:noProof/>
        <w:sz w:val="16"/>
      </w:rPr>
      <w:t>I</w:t>
    </w:r>
    <w:r>
      <w:rPr>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0359E" w14:textId="77777777" w:rsidR="00BB4832" w:rsidRDefault="00BB4832" w:rsidP="008068C7">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CC244B">
      <w:rPr>
        <w:rStyle w:val="Seitenzahl"/>
        <w:noProof/>
      </w:rPr>
      <w:t>VII</w:t>
    </w:r>
    <w:r>
      <w:rPr>
        <w:rStyle w:val="Seitenzahl"/>
      </w:rPr>
      <w:fldChar w:fldCharType="end"/>
    </w:r>
  </w:p>
  <w:p w14:paraId="2991FBDB" w14:textId="5A03354A" w:rsidR="00841FCE" w:rsidRDefault="00841FCE" w:rsidP="00BB4832">
    <w:pPr>
      <w:ind w:right="36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DCF43" w14:textId="77777777" w:rsidR="00BB4832" w:rsidRDefault="00BB4832" w:rsidP="008068C7">
    <w:pPr>
      <w:pStyle w:val="Fuzeile"/>
      <w:framePr w:wrap="none"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CC244B">
      <w:rPr>
        <w:rStyle w:val="Seitenzahl"/>
        <w:noProof/>
      </w:rPr>
      <w:t>12</w:t>
    </w:r>
    <w:r>
      <w:rPr>
        <w:rStyle w:val="Seitenzahl"/>
      </w:rPr>
      <w:fldChar w:fldCharType="end"/>
    </w:r>
  </w:p>
  <w:p w14:paraId="6AB4FCCD" w14:textId="77777777" w:rsidR="00BB4832" w:rsidRDefault="00BB4832" w:rsidP="00BB4832">
    <w:pPr>
      <w:ind w:right="36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667" w14:textId="77777777" w:rsidR="007944D7" w:rsidRDefault="00BA4387">
    <w:pPr>
      <w:pStyle w:val="Fuzeile"/>
      <w:tabs>
        <w:tab w:val="clear" w:pos="9072"/>
        <w:tab w:val="right" w:pos="8505"/>
      </w:tabs>
    </w:pPr>
    <w:r>
      <w:rPr>
        <w:rFonts w:ascii="FuturaLight" w:hAnsi="FuturaLight"/>
        <w:sz w:val="12"/>
      </w:rPr>
      <w:tab/>
    </w:r>
    <w:r>
      <w:rPr>
        <w:rFonts w:ascii="FuturaLight" w:hAnsi="FuturaLight"/>
        <w:sz w:val="12"/>
      </w:rPr>
      <w:tab/>
    </w:r>
    <w:r>
      <w:rPr>
        <w:rFonts w:ascii="FuturaLight" w:hAnsi="FuturaLight"/>
        <w:sz w:val="16"/>
      </w:rPr>
      <w:t xml:space="preserve">Seite </w:t>
    </w:r>
    <w:r>
      <w:rPr>
        <w:rFonts w:ascii="FuturaLight" w:hAnsi="FuturaLight"/>
        <w:sz w:val="16"/>
      </w:rPr>
      <w:fldChar w:fldCharType="begin"/>
    </w:r>
    <w:r>
      <w:rPr>
        <w:rFonts w:ascii="FuturaLight" w:hAnsi="FuturaLight"/>
        <w:sz w:val="16"/>
      </w:rPr>
      <w:instrText xml:space="preserve"> PAGE </w:instrText>
    </w:r>
    <w:r>
      <w:rPr>
        <w:rFonts w:ascii="FuturaLight" w:hAnsi="FuturaLight"/>
        <w:sz w:val="16"/>
      </w:rPr>
      <w:fldChar w:fldCharType="separate"/>
    </w:r>
    <w:r>
      <w:rPr>
        <w:rFonts w:ascii="FuturaLight" w:hAnsi="FuturaLight"/>
        <w:noProof/>
        <w:sz w:val="16"/>
      </w:rPr>
      <w:t>1</w:t>
    </w:r>
    <w:r>
      <w:rPr>
        <w:rFonts w:ascii="FuturaLight" w:hAnsi="FuturaLight"/>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A6603" w14:textId="77777777" w:rsidR="00243C88" w:rsidRDefault="00243C88" w:rsidP="00841FCE">
      <w:pPr>
        <w:spacing w:line="240" w:lineRule="auto"/>
      </w:pPr>
      <w:r>
        <w:separator/>
      </w:r>
    </w:p>
  </w:footnote>
  <w:footnote w:type="continuationSeparator" w:id="0">
    <w:p w14:paraId="7549B90D" w14:textId="77777777" w:rsidR="00243C88" w:rsidRDefault="00243C88" w:rsidP="00841FCE">
      <w:pPr>
        <w:spacing w:line="240" w:lineRule="auto"/>
      </w:pPr>
      <w:r>
        <w:continuationSeparator/>
      </w:r>
    </w:p>
  </w:footnote>
  <w:footnote w:id="1">
    <w:p w14:paraId="48454CDB" w14:textId="04384029" w:rsidR="00841FCE" w:rsidRDefault="00841FCE" w:rsidP="00384B12">
      <w:pPr>
        <w:pStyle w:val="Funotentext"/>
        <w:ind w:left="113" w:hanging="113"/>
      </w:pPr>
      <w:r>
        <w:rPr>
          <w:rStyle w:val="Funotenzeichen"/>
        </w:rPr>
        <w:footnoteRef/>
      </w:r>
      <w:r>
        <w:t xml:space="preserve"> Da es hier aber viele verschiedene Standards und Empfehlungen gibt ha</w:t>
      </w:r>
      <w:r w:rsidR="00452A1C">
        <w:t>st du</w:t>
      </w:r>
      <w:r>
        <w:t xml:space="preserve"> die Freiheit, auch andere Standards zu wählen. Wichtig ist, dass </w:t>
      </w:r>
      <w:r w:rsidR="00384B12">
        <w:t xml:space="preserve">du </w:t>
      </w:r>
      <w:r>
        <w:t>diesen Standard einheitlich für alle Literaturangaben verwende</w:t>
      </w:r>
      <w:r w:rsidR="00384B12">
        <w:t>st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3B26" w14:textId="77777777" w:rsidR="00841FCE" w:rsidRDefault="00841FCE">
    <w:pPr>
      <w:pStyle w:val="Kopfzeile"/>
      <w:tabs>
        <w:tab w:val="clear" w:pos="9072"/>
        <w:tab w:val="right" w:pos="8505"/>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0B3C" w14:textId="77777777" w:rsidR="00841FCE" w:rsidRPr="00D71C80" w:rsidRDefault="00841FCE" w:rsidP="00D71C8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035"/>
    <w:multiLevelType w:val="multilevel"/>
    <w:tmpl w:val="2C1A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667C2"/>
    <w:multiLevelType w:val="hybridMultilevel"/>
    <w:tmpl w:val="96642834"/>
    <w:lvl w:ilvl="0" w:tplc="81AC1830">
      <w:start w:val="1"/>
      <w:numFmt w:val="decimal"/>
      <w:pStyle w:val="Aufzhlung"/>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151C173E"/>
    <w:multiLevelType w:val="hybridMultilevel"/>
    <w:tmpl w:val="B950CBB4"/>
    <w:lvl w:ilvl="0" w:tplc="AB7A09D2">
      <w:start w:val="1"/>
      <w:numFmt w:val="bullet"/>
      <w:pStyle w:val="Auflistung"/>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11F3CE0"/>
    <w:multiLevelType w:val="multilevel"/>
    <w:tmpl w:val="4E101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85625">
    <w:abstractNumId w:val="2"/>
  </w:num>
  <w:num w:numId="2" w16cid:durableId="969215306">
    <w:abstractNumId w:val="1"/>
  </w:num>
  <w:num w:numId="3" w16cid:durableId="2030450858">
    <w:abstractNumId w:val="3"/>
  </w:num>
  <w:num w:numId="4" w16cid:durableId="995496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FCE"/>
    <w:rsid w:val="00012ED3"/>
    <w:rsid w:val="00045675"/>
    <w:rsid w:val="00057D47"/>
    <w:rsid w:val="00063BB3"/>
    <w:rsid w:val="00076A15"/>
    <w:rsid w:val="00094CB1"/>
    <w:rsid w:val="000C59A6"/>
    <w:rsid w:val="000E4D74"/>
    <w:rsid w:val="000F5892"/>
    <w:rsid w:val="00164579"/>
    <w:rsid w:val="00167F67"/>
    <w:rsid w:val="001B5B58"/>
    <w:rsid w:val="0021317C"/>
    <w:rsid w:val="00243C88"/>
    <w:rsid w:val="00264823"/>
    <w:rsid w:val="0029166C"/>
    <w:rsid w:val="002B0830"/>
    <w:rsid w:val="002B0B20"/>
    <w:rsid w:val="002E67C9"/>
    <w:rsid w:val="002E6BBF"/>
    <w:rsid w:val="002F59D2"/>
    <w:rsid w:val="002F6F63"/>
    <w:rsid w:val="00301A8D"/>
    <w:rsid w:val="0032047C"/>
    <w:rsid w:val="00341938"/>
    <w:rsid w:val="003452B7"/>
    <w:rsid w:val="00384B12"/>
    <w:rsid w:val="0038791D"/>
    <w:rsid w:val="00387F4C"/>
    <w:rsid w:val="003B6128"/>
    <w:rsid w:val="004069AE"/>
    <w:rsid w:val="00417A1D"/>
    <w:rsid w:val="00452A1C"/>
    <w:rsid w:val="004628AE"/>
    <w:rsid w:val="004628DC"/>
    <w:rsid w:val="00482396"/>
    <w:rsid w:val="00490727"/>
    <w:rsid w:val="004C7C90"/>
    <w:rsid w:val="004D186F"/>
    <w:rsid w:val="004D4657"/>
    <w:rsid w:val="00516F3E"/>
    <w:rsid w:val="00520DB7"/>
    <w:rsid w:val="005308D5"/>
    <w:rsid w:val="00575551"/>
    <w:rsid w:val="005772DD"/>
    <w:rsid w:val="005B7D08"/>
    <w:rsid w:val="005C2387"/>
    <w:rsid w:val="005C323F"/>
    <w:rsid w:val="005E26C1"/>
    <w:rsid w:val="005F2F41"/>
    <w:rsid w:val="0060038C"/>
    <w:rsid w:val="0060542C"/>
    <w:rsid w:val="00605E60"/>
    <w:rsid w:val="00654F8F"/>
    <w:rsid w:val="00662833"/>
    <w:rsid w:val="00665C9D"/>
    <w:rsid w:val="006C4E23"/>
    <w:rsid w:val="00702A2B"/>
    <w:rsid w:val="007124D3"/>
    <w:rsid w:val="007217E5"/>
    <w:rsid w:val="00754FA4"/>
    <w:rsid w:val="0076035A"/>
    <w:rsid w:val="0076472B"/>
    <w:rsid w:val="00782763"/>
    <w:rsid w:val="00790434"/>
    <w:rsid w:val="007944D7"/>
    <w:rsid w:val="007A552F"/>
    <w:rsid w:val="007B7144"/>
    <w:rsid w:val="007D0D0E"/>
    <w:rsid w:val="007F3F60"/>
    <w:rsid w:val="007F4F90"/>
    <w:rsid w:val="007F7FA4"/>
    <w:rsid w:val="00801352"/>
    <w:rsid w:val="008123D8"/>
    <w:rsid w:val="008213D2"/>
    <w:rsid w:val="0083546E"/>
    <w:rsid w:val="00841FCE"/>
    <w:rsid w:val="008771D9"/>
    <w:rsid w:val="00880A34"/>
    <w:rsid w:val="0089145C"/>
    <w:rsid w:val="008A6606"/>
    <w:rsid w:val="008A69FA"/>
    <w:rsid w:val="008A7961"/>
    <w:rsid w:val="008B6CDF"/>
    <w:rsid w:val="008D6297"/>
    <w:rsid w:val="00911BC2"/>
    <w:rsid w:val="0092214F"/>
    <w:rsid w:val="00927482"/>
    <w:rsid w:val="00950B0A"/>
    <w:rsid w:val="00971431"/>
    <w:rsid w:val="00973E41"/>
    <w:rsid w:val="009C5ABE"/>
    <w:rsid w:val="00A0534B"/>
    <w:rsid w:val="00A073B2"/>
    <w:rsid w:val="00A53F8E"/>
    <w:rsid w:val="00A72064"/>
    <w:rsid w:val="00A93EA1"/>
    <w:rsid w:val="00AA33EE"/>
    <w:rsid w:val="00AC2A16"/>
    <w:rsid w:val="00AD422B"/>
    <w:rsid w:val="00AF6CDF"/>
    <w:rsid w:val="00B31BFD"/>
    <w:rsid w:val="00B508B7"/>
    <w:rsid w:val="00B72E49"/>
    <w:rsid w:val="00B84CDD"/>
    <w:rsid w:val="00BA4387"/>
    <w:rsid w:val="00BB4832"/>
    <w:rsid w:val="00BB4AD4"/>
    <w:rsid w:val="00BC52EC"/>
    <w:rsid w:val="00BF0F1C"/>
    <w:rsid w:val="00C16E2E"/>
    <w:rsid w:val="00C41C60"/>
    <w:rsid w:val="00C70671"/>
    <w:rsid w:val="00C7675E"/>
    <w:rsid w:val="00CB5F4B"/>
    <w:rsid w:val="00CC244B"/>
    <w:rsid w:val="00CD022B"/>
    <w:rsid w:val="00CF0AE7"/>
    <w:rsid w:val="00D07962"/>
    <w:rsid w:val="00D12C80"/>
    <w:rsid w:val="00D2756C"/>
    <w:rsid w:val="00D44B35"/>
    <w:rsid w:val="00D51F65"/>
    <w:rsid w:val="00D71C80"/>
    <w:rsid w:val="00D85B07"/>
    <w:rsid w:val="00D9178B"/>
    <w:rsid w:val="00DA2C48"/>
    <w:rsid w:val="00DC39F0"/>
    <w:rsid w:val="00DD4FE1"/>
    <w:rsid w:val="00E01FF9"/>
    <w:rsid w:val="00E029C6"/>
    <w:rsid w:val="00E03023"/>
    <w:rsid w:val="00E077CF"/>
    <w:rsid w:val="00E151AC"/>
    <w:rsid w:val="00E16B52"/>
    <w:rsid w:val="00E36670"/>
    <w:rsid w:val="00E63F9E"/>
    <w:rsid w:val="00E97B64"/>
    <w:rsid w:val="00EA1B64"/>
    <w:rsid w:val="00EB77F8"/>
    <w:rsid w:val="00ED7661"/>
    <w:rsid w:val="00F117D5"/>
    <w:rsid w:val="00F1289E"/>
    <w:rsid w:val="00F160D4"/>
    <w:rsid w:val="00F1786B"/>
    <w:rsid w:val="00F6374F"/>
    <w:rsid w:val="00F916A0"/>
    <w:rsid w:val="00FC1CA5"/>
    <w:rsid w:val="00FE46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FAA9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1FCE"/>
    <w:pPr>
      <w:spacing w:line="360" w:lineRule="auto"/>
      <w:jc w:val="both"/>
    </w:pPr>
    <w:rPr>
      <w:rFonts w:ascii="Arial" w:eastAsia="Times New Roman" w:hAnsi="Arial" w:cs="Times New Roman"/>
      <w:sz w:val="22"/>
      <w:szCs w:val="20"/>
      <w:lang w:eastAsia="de-DE"/>
    </w:rPr>
  </w:style>
  <w:style w:type="paragraph" w:styleId="berschrift1">
    <w:name w:val="heading 1"/>
    <w:basedOn w:val="Standard"/>
    <w:next w:val="Standard"/>
    <w:link w:val="berschrift1Zchn"/>
    <w:qFormat/>
    <w:rsid w:val="00841FCE"/>
    <w:pPr>
      <w:keepNext/>
      <w:pageBreakBefore/>
      <w:tabs>
        <w:tab w:val="left" w:pos="567"/>
      </w:tabs>
      <w:spacing w:before="240" w:after="240"/>
      <w:ind w:left="397" w:hanging="397"/>
      <w:outlineLvl w:val="0"/>
    </w:pPr>
    <w:rPr>
      <w:b/>
      <w:kern w:val="28"/>
      <w:sz w:val="28"/>
    </w:rPr>
  </w:style>
  <w:style w:type="paragraph" w:styleId="berschrift2">
    <w:name w:val="heading 2"/>
    <w:basedOn w:val="Standard"/>
    <w:next w:val="Standard"/>
    <w:link w:val="berschrift2Zchn"/>
    <w:qFormat/>
    <w:rsid w:val="00841FCE"/>
    <w:pPr>
      <w:keepNext/>
      <w:tabs>
        <w:tab w:val="left" w:pos="567"/>
      </w:tabs>
      <w:spacing w:before="480" w:after="240"/>
      <w:ind w:left="454" w:hanging="454"/>
      <w:outlineLvl w:val="1"/>
    </w:pPr>
    <w:rPr>
      <w:b/>
      <w:sz w:val="24"/>
    </w:rPr>
  </w:style>
  <w:style w:type="paragraph" w:styleId="berschrift3">
    <w:name w:val="heading 3"/>
    <w:basedOn w:val="Standard"/>
    <w:next w:val="Standard"/>
    <w:link w:val="berschrift3Zchn"/>
    <w:qFormat/>
    <w:rsid w:val="00841FCE"/>
    <w:pPr>
      <w:keepNext/>
      <w:spacing w:before="480" w:after="240"/>
      <w:ind w:left="567" w:hanging="567"/>
      <w:outlineLvl w:val="2"/>
    </w:pPr>
    <w:rPr>
      <w:b/>
    </w:rPr>
  </w:style>
  <w:style w:type="paragraph" w:styleId="berschrift4">
    <w:name w:val="heading 4"/>
    <w:basedOn w:val="Standard"/>
    <w:next w:val="Standard"/>
    <w:link w:val="berschrift4Zchn"/>
    <w:uiPriority w:val="9"/>
    <w:semiHidden/>
    <w:unhideWhenUsed/>
    <w:qFormat/>
    <w:rsid w:val="00520DB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aliases w:val="Abbildungsbezeichnung"/>
    <w:basedOn w:val="Standard"/>
    <w:next w:val="Standard"/>
    <w:link w:val="TitelZchn"/>
    <w:autoRedefine/>
    <w:qFormat/>
    <w:rsid w:val="00B508B7"/>
    <w:pPr>
      <w:spacing w:after="240"/>
      <w:jc w:val="center"/>
    </w:pPr>
    <w:rPr>
      <w:b/>
      <w:sz w:val="20"/>
    </w:rPr>
  </w:style>
  <w:style w:type="character" w:customStyle="1" w:styleId="TitelZchn">
    <w:name w:val="Titel Zchn"/>
    <w:aliases w:val="Abbildungsbezeichnung Zchn"/>
    <w:basedOn w:val="Absatz-Standardschriftart"/>
    <w:link w:val="Titel"/>
    <w:rsid w:val="00B508B7"/>
    <w:rPr>
      <w:rFonts w:ascii="Arial" w:eastAsia="Times New Roman" w:hAnsi="Arial" w:cs="Times New Roman"/>
      <w:b/>
      <w:sz w:val="20"/>
      <w:szCs w:val="20"/>
      <w:lang w:eastAsia="de-DE"/>
    </w:rPr>
  </w:style>
  <w:style w:type="character" w:customStyle="1" w:styleId="berschrift1Zchn">
    <w:name w:val="Überschrift 1 Zchn"/>
    <w:basedOn w:val="Absatz-Standardschriftart"/>
    <w:link w:val="berschrift1"/>
    <w:rsid w:val="00841FCE"/>
    <w:rPr>
      <w:rFonts w:ascii="Arial" w:eastAsia="Times New Roman" w:hAnsi="Arial" w:cs="Times New Roman"/>
      <w:b/>
      <w:kern w:val="28"/>
      <w:sz w:val="28"/>
      <w:szCs w:val="20"/>
      <w:lang w:eastAsia="de-DE"/>
    </w:rPr>
  </w:style>
  <w:style w:type="character" w:customStyle="1" w:styleId="berschrift2Zchn">
    <w:name w:val="Überschrift 2 Zchn"/>
    <w:basedOn w:val="Absatz-Standardschriftart"/>
    <w:link w:val="berschrift2"/>
    <w:rsid w:val="00841FCE"/>
    <w:rPr>
      <w:rFonts w:ascii="Arial" w:eastAsia="Times New Roman" w:hAnsi="Arial" w:cs="Times New Roman"/>
      <w:b/>
      <w:szCs w:val="20"/>
      <w:lang w:eastAsia="de-DE"/>
    </w:rPr>
  </w:style>
  <w:style w:type="character" w:customStyle="1" w:styleId="berschrift3Zchn">
    <w:name w:val="Überschrift 3 Zchn"/>
    <w:basedOn w:val="Absatz-Standardschriftart"/>
    <w:link w:val="berschrift3"/>
    <w:rsid w:val="00841FCE"/>
    <w:rPr>
      <w:rFonts w:ascii="Arial" w:eastAsia="Times New Roman" w:hAnsi="Arial" w:cs="Times New Roman"/>
      <w:b/>
      <w:sz w:val="22"/>
      <w:szCs w:val="20"/>
      <w:lang w:eastAsia="de-DE"/>
    </w:rPr>
  </w:style>
  <w:style w:type="paragraph" w:styleId="Verzeichnis1">
    <w:name w:val="toc 1"/>
    <w:basedOn w:val="Standard"/>
    <w:next w:val="Standard"/>
    <w:autoRedefine/>
    <w:uiPriority w:val="39"/>
    <w:rsid w:val="00012ED3"/>
    <w:pPr>
      <w:tabs>
        <w:tab w:val="left" w:pos="567"/>
        <w:tab w:val="right" w:leader="dot" w:pos="7938"/>
      </w:tabs>
      <w:spacing w:before="120" w:after="120" w:line="240" w:lineRule="auto"/>
      <w:ind w:left="227" w:hanging="227"/>
      <w:jc w:val="left"/>
    </w:pPr>
    <w:rPr>
      <w:b/>
      <w:noProof/>
      <w:snapToGrid w:val="0"/>
    </w:rPr>
  </w:style>
  <w:style w:type="paragraph" w:styleId="Verzeichnis2">
    <w:name w:val="toc 2"/>
    <w:basedOn w:val="Verzeichnis1"/>
    <w:next w:val="Standard"/>
    <w:uiPriority w:val="39"/>
    <w:rsid w:val="00841FCE"/>
    <w:pPr>
      <w:spacing w:before="0"/>
      <w:ind w:left="681" w:hanging="397"/>
    </w:pPr>
    <w:rPr>
      <w:b w:val="0"/>
    </w:rPr>
  </w:style>
  <w:style w:type="paragraph" w:styleId="Verzeichnis3">
    <w:name w:val="toc 3"/>
    <w:basedOn w:val="Verzeichnis2"/>
    <w:next w:val="Standard"/>
    <w:uiPriority w:val="39"/>
    <w:rsid w:val="00841FCE"/>
    <w:pPr>
      <w:ind w:left="1247" w:hanging="567"/>
    </w:pPr>
  </w:style>
  <w:style w:type="paragraph" w:styleId="Kopfzeile">
    <w:name w:val="header"/>
    <w:basedOn w:val="Standard"/>
    <w:link w:val="KopfzeileZchn"/>
    <w:rsid w:val="00841FCE"/>
    <w:pPr>
      <w:tabs>
        <w:tab w:val="center" w:pos="4536"/>
        <w:tab w:val="right" w:pos="9072"/>
      </w:tabs>
    </w:pPr>
  </w:style>
  <w:style w:type="character" w:customStyle="1" w:styleId="KopfzeileZchn">
    <w:name w:val="Kopfzeile Zchn"/>
    <w:basedOn w:val="Absatz-Standardschriftart"/>
    <w:link w:val="Kopfzeile"/>
    <w:rsid w:val="00841FCE"/>
    <w:rPr>
      <w:rFonts w:ascii="Arial" w:eastAsia="Times New Roman" w:hAnsi="Arial" w:cs="Times New Roman"/>
      <w:sz w:val="22"/>
      <w:szCs w:val="20"/>
      <w:lang w:eastAsia="de-DE"/>
    </w:rPr>
  </w:style>
  <w:style w:type="paragraph" w:styleId="Fuzeile">
    <w:name w:val="footer"/>
    <w:basedOn w:val="Standard"/>
    <w:link w:val="FuzeileZchn"/>
    <w:rsid w:val="00841FCE"/>
    <w:pPr>
      <w:tabs>
        <w:tab w:val="center" w:pos="4536"/>
        <w:tab w:val="right" w:pos="9072"/>
      </w:tabs>
    </w:pPr>
  </w:style>
  <w:style w:type="character" w:customStyle="1" w:styleId="FuzeileZchn">
    <w:name w:val="Fußzeile Zchn"/>
    <w:basedOn w:val="Absatz-Standardschriftart"/>
    <w:link w:val="Fuzeile"/>
    <w:rsid w:val="00841FCE"/>
    <w:rPr>
      <w:rFonts w:ascii="Arial" w:eastAsia="Times New Roman" w:hAnsi="Arial" w:cs="Times New Roman"/>
      <w:sz w:val="22"/>
      <w:szCs w:val="20"/>
      <w:lang w:eastAsia="de-DE"/>
    </w:rPr>
  </w:style>
  <w:style w:type="paragraph" w:styleId="Funotentext">
    <w:name w:val="footnote text"/>
    <w:aliases w:val="Fußnotentext Char"/>
    <w:basedOn w:val="Standard"/>
    <w:link w:val="FunotentextZchn"/>
    <w:semiHidden/>
    <w:rsid w:val="00841FCE"/>
    <w:pPr>
      <w:spacing w:line="240" w:lineRule="exact"/>
      <w:ind w:left="284" w:hanging="284"/>
    </w:pPr>
    <w:rPr>
      <w:sz w:val="16"/>
    </w:rPr>
  </w:style>
  <w:style w:type="character" w:customStyle="1" w:styleId="FunotentextZchn">
    <w:name w:val="Fußnotentext Zchn"/>
    <w:aliases w:val="Fußnotentext Char Zchn"/>
    <w:basedOn w:val="Absatz-Standardschriftart"/>
    <w:link w:val="Funotentext"/>
    <w:semiHidden/>
    <w:rsid w:val="00841FCE"/>
    <w:rPr>
      <w:rFonts w:ascii="Arial" w:eastAsia="Times New Roman" w:hAnsi="Arial" w:cs="Times New Roman"/>
      <w:sz w:val="16"/>
      <w:szCs w:val="20"/>
      <w:lang w:eastAsia="de-DE"/>
    </w:rPr>
  </w:style>
  <w:style w:type="character" w:styleId="Funotenzeichen">
    <w:name w:val="footnote reference"/>
    <w:basedOn w:val="Absatz-Standardschriftart"/>
    <w:semiHidden/>
    <w:rsid w:val="00841FCE"/>
    <w:rPr>
      <w:rFonts w:ascii="Arial" w:hAnsi="Arial"/>
      <w:vertAlign w:val="superscript"/>
    </w:rPr>
  </w:style>
  <w:style w:type="character" w:styleId="Seitenzahl">
    <w:name w:val="page number"/>
    <w:basedOn w:val="Absatz-Standardschriftart"/>
    <w:rsid w:val="00841FCE"/>
    <w:rPr>
      <w:rFonts w:ascii="Arial" w:hAnsi="Arial"/>
    </w:rPr>
  </w:style>
  <w:style w:type="paragraph" w:customStyle="1" w:styleId="WiWiGrundtext">
    <w:name w:val="_WiWi Grundtext"/>
    <w:basedOn w:val="Standard"/>
    <w:rsid w:val="00841FCE"/>
    <w:pPr>
      <w:spacing w:before="120" w:after="120" w:line="340" w:lineRule="exact"/>
    </w:pPr>
    <w:rPr>
      <w:rFonts w:ascii="Times" w:hAnsi="Times"/>
      <w:sz w:val="24"/>
    </w:rPr>
  </w:style>
  <w:style w:type="paragraph" w:customStyle="1" w:styleId="Quellenbezeichnung">
    <w:name w:val="Quellenbezeichnung"/>
    <w:basedOn w:val="Standard"/>
    <w:rsid w:val="00841FCE"/>
    <w:pPr>
      <w:tabs>
        <w:tab w:val="left" w:pos="567"/>
      </w:tabs>
      <w:spacing w:before="120" w:after="120"/>
      <w:jc w:val="center"/>
    </w:pPr>
    <w:rPr>
      <w:snapToGrid w:val="0"/>
      <w:sz w:val="16"/>
      <w:szCs w:val="22"/>
    </w:rPr>
  </w:style>
  <w:style w:type="paragraph" w:customStyle="1" w:styleId="Tabellenbezeichnung">
    <w:name w:val="Tabellenbezeichnung"/>
    <w:basedOn w:val="Standard"/>
    <w:rsid w:val="00841FCE"/>
    <w:pPr>
      <w:tabs>
        <w:tab w:val="left" w:pos="567"/>
      </w:tabs>
      <w:spacing w:after="360"/>
      <w:jc w:val="center"/>
    </w:pPr>
    <w:rPr>
      <w:b/>
      <w:snapToGrid w:val="0"/>
      <w:sz w:val="20"/>
      <w:szCs w:val="22"/>
    </w:rPr>
  </w:style>
  <w:style w:type="paragraph" w:customStyle="1" w:styleId="Literatur">
    <w:name w:val="Literatur"/>
    <w:basedOn w:val="Standard"/>
    <w:rsid w:val="00841FCE"/>
    <w:pPr>
      <w:autoSpaceDE w:val="0"/>
      <w:autoSpaceDN w:val="0"/>
      <w:adjustRightInd w:val="0"/>
      <w:spacing w:after="120"/>
      <w:ind w:left="709" w:hanging="709"/>
    </w:pPr>
    <w:rPr>
      <w:rFonts w:cs="Arial"/>
      <w:lang w:val="en-GB"/>
    </w:rPr>
  </w:style>
  <w:style w:type="paragraph" w:customStyle="1" w:styleId="Auflistung">
    <w:name w:val="Auflistung"/>
    <w:basedOn w:val="Standard"/>
    <w:rsid w:val="00841FCE"/>
    <w:pPr>
      <w:numPr>
        <w:numId w:val="1"/>
      </w:numPr>
      <w:tabs>
        <w:tab w:val="num" w:pos="340"/>
      </w:tabs>
      <w:ind w:left="340" w:hanging="340"/>
    </w:pPr>
  </w:style>
  <w:style w:type="paragraph" w:customStyle="1" w:styleId="Aufzhlung">
    <w:name w:val="Aufzählung"/>
    <w:basedOn w:val="Standard"/>
    <w:rsid w:val="00841FCE"/>
    <w:pPr>
      <w:numPr>
        <w:numId w:val="2"/>
      </w:numPr>
      <w:tabs>
        <w:tab w:val="num" w:pos="340"/>
      </w:tabs>
      <w:ind w:left="340" w:hanging="340"/>
    </w:pPr>
    <w:rPr>
      <w:lang w:val="en-GB"/>
    </w:rPr>
  </w:style>
  <w:style w:type="paragraph" w:styleId="berarbeitung">
    <w:name w:val="Revision"/>
    <w:hidden/>
    <w:uiPriority w:val="99"/>
    <w:semiHidden/>
    <w:rsid w:val="00F916A0"/>
    <w:rPr>
      <w:rFonts w:ascii="Arial" w:eastAsia="Times New Roman" w:hAnsi="Arial" w:cs="Times New Roman"/>
      <w:sz w:val="22"/>
      <w:szCs w:val="20"/>
      <w:lang w:eastAsia="de-DE"/>
    </w:rPr>
  </w:style>
  <w:style w:type="character" w:styleId="Kommentarzeichen">
    <w:name w:val="annotation reference"/>
    <w:basedOn w:val="Absatz-Standardschriftart"/>
    <w:uiPriority w:val="99"/>
    <w:semiHidden/>
    <w:unhideWhenUsed/>
    <w:rsid w:val="000F5892"/>
    <w:rPr>
      <w:sz w:val="16"/>
      <w:szCs w:val="16"/>
    </w:rPr>
  </w:style>
  <w:style w:type="paragraph" w:styleId="Kommentartext">
    <w:name w:val="annotation text"/>
    <w:basedOn w:val="Standard"/>
    <w:link w:val="KommentartextZchn"/>
    <w:uiPriority w:val="99"/>
    <w:unhideWhenUsed/>
    <w:rsid w:val="000F5892"/>
    <w:pPr>
      <w:spacing w:line="240" w:lineRule="auto"/>
    </w:pPr>
    <w:rPr>
      <w:sz w:val="20"/>
    </w:rPr>
  </w:style>
  <w:style w:type="character" w:customStyle="1" w:styleId="KommentartextZchn">
    <w:name w:val="Kommentartext Zchn"/>
    <w:basedOn w:val="Absatz-Standardschriftart"/>
    <w:link w:val="Kommentartext"/>
    <w:uiPriority w:val="99"/>
    <w:rsid w:val="000F5892"/>
    <w:rPr>
      <w:rFonts w:ascii="Arial" w:eastAsia="Times New Roman" w:hAnsi="Arial"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0F5892"/>
    <w:rPr>
      <w:b/>
      <w:bCs/>
    </w:rPr>
  </w:style>
  <w:style w:type="character" w:customStyle="1" w:styleId="KommentarthemaZchn">
    <w:name w:val="Kommentarthema Zchn"/>
    <w:basedOn w:val="KommentartextZchn"/>
    <w:link w:val="Kommentarthema"/>
    <w:uiPriority w:val="99"/>
    <w:semiHidden/>
    <w:rsid w:val="000F5892"/>
    <w:rPr>
      <w:rFonts w:ascii="Arial" w:eastAsia="Times New Roman" w:hAnsi="Arial" w:cs="Times New Roman"/>
      <w:b/>
      <w:bCs/>
      <w:sz w:val="20"/>
      <w:szCs w:val="20"/>
      <w:lang w:eastAsia="de-DE"/>
    </w:rPr>
  </w:style>
  <w:style w:type="paragraph" w:styleId="StandardWeb">
    <w:name w:val="Normal (Web)"/>
    <w:basedOn w:val="Standard"/>
    <w:uiPriority w:val="99"/>
    <w:semiHidden/>
    <w:unhideWhenUsed/>
    <w:rsid w:val="00654F8F"/>
    <w:pPr>
      <w:spacing w:before="100" w:beforeAutospacing="1" w:after="100" w:afterAutospacing="1" w:line="240" w:lineRule="auto"/>
      <w:jc w:val="left"/>
    </w:pPr>
    <w:rPr>
      <w:rFonts w:ascii="Times New Roman" w:hAnsi="Times New Roman"/>
      <w:sz w:val="24"/>
      <w:szCs w:val="24"/>
    </w:rPr>
  </w:style>
  <w:style w:type="character" w:customStyle="1" w:styleId="berschrift4Zchn">
    <w:name w:val="Überschrift 4 Zchn"/>
    <w:basedOn w:val="Absatz-Standardschriftart"/>
    <w:link w:val="berschrift4"/>
    <w:uiPriority w:val="9"/>
    <w:semiHidden/>
    <w:rsid w:val="00520DB7"/>
    <w:rPr>
      <w:rFonts w:asciiTheme="majorHAnsi" w:eastAsiaTheme="majorEastAsia" w:hAnsiTheme="majorHAnsi" w:cstheme="majorBidi"/>
      <w:i/>
      <w:iCs/>
      <w:color w:val="2E74B5" w:themeColor="accent1" w:themeShade="BF"/>
      <w:sz w:val="22"/>
      <w:szCs w:val="20"/>
      <w:lang w:eastAsia="de-DE"/>
    </w:rPr>
  </w:style>
  <w:style w:type="character" w:styleId="Hervorhebung">
    <w:name w:val="Emphasis"/>
    <w:basedOn w:val="Absatz-Standardschriftart"/>
    <w:uiPriority w:val="20"/>
    <w:qFormat/>
    <w:rsid w:val="00927482"/>
    <w:rPr>
      <w:i/>
      <w:iCs/>
    </w:rPr>
  </w:style>
  <w:style w:type="character" w:customStyle="1" w:styleId="math-inline">
    <w:name w:val="math-inline"/>
    <w:basedOn w:val="Absatz-Standardschriftart"/>
    <w:rsid w:val="00301A8D"/>
  </w:style>
  <w:style w:type="character" w:styleId="Hyperlink">
    <w:name w:val="Hyperlink"/>
    <w:basedOn w:val="Absatz-Standardschriftart"/>
    <w:uiPriority w:val="99"/>
    <w:unhideWhenUsed/>
    <w:rsid w:val="00790434"/>
    <w:rPr>
      <w:color w:val="0563C1" w:themeColor="hyperlink"/>
      <w:u w:val="single"/>
    </w:rPr>
  </w:style>
  <w:style w:type="character" w:styleId="NichtaufgelsteErwhnung">
    <w:name w:val="Unresolved Mention"/>
    <w:basedOn w:val="Absatz-Standardschriftart"/>
    <w:uiPriority w:val="99"/>
    <w:semiHidden/>
    <w:unhideWhenUsed/>
    <w:rsid w:val="007904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66F024-670A-4788-8CA4-690CC5AB3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5730</Words>
  <Characters>36104</Characters>
  <Application>Microsoft Office Word</Application>
  <DocSecurity>0</DocSecurity>
  <Lines>300</Lines>
  <Paragraphs>83</Paragraphs>
  <ScaleCrop>false</ScaleCrop>
  <HeadingPairs>
    <vt:vector size="4" baseType="variant">
      <vt:variant>
        <vt:lpstr>Titel</vt:lpstr>
      </vt:variant>
      <vt:variant>
        <vt:i4>1</vt:i4>
      </vt:variant>
      <vt:variant>
        <vt:lpstr>Headings</vt:lpstr>
      </vt:variant>
      <vt:variant>
        <vt:i4>14</vt:i4>
      </vt:variant>
    </vt:vector>
  </HeadingPairs>
  <TitlesOfParts>
    <vt:vector size="15" baseType="lpstr">
      <vt:lpstr>Studienarbeit Bachelor Formatvorlage</vt:lpstr>
      <vt:lpstr>Abbildungsverzeichnis</vt:lpstr>
      <vt:lpstr>Tabellenverzeichnis - nur wenn benötigt, sonst löschen!</vt:lpstr>
      <vt:lpstr>Abkürzungen - nur wenn benötigt, sonst löschen!</vt:lpstr>
      <vt:lpstr>1. Einleitung</vt:lpstr>
      <vt:lpstr>2. Erster Abschnitt des Hauptteils</vt:lpstr>
      <vt:lpstr>    2.1 Erster Unterabschnitt</vt:lpstr>
      <vt:lpstr>    2.2 Zweiter Unterabschnitt, dessen Überschrift, wenn sie etwas länger ausfällt, </vt:lpstr>
      <vt:lpstr>        2.2.1 Erster Unterabschnitt auf dritter Ebene, dessen Überschrift ggf. natürlich</vt:lpstr>
      <vt:lpstr>        2.2.2 Und weil es einen ersten Unterabschnitt gab, muss es natürlich auch mindes</vt:lpstr>
      <vt:lpstr>3. Zweiter Abschnitt des Hauptteils</vt:lpstr>
      <vt:lpstr>4. bis x. Abschnitt des Hauptteils</vt:lpstr>
      <vt:lpstr>y. Schlussbetrachtung</vt:lpstr>
      <vt:lpstr>Literaturverzeichnis</vt:lpstr>
      <vt:lpstr>Anhang - nur wenn benötigt, sonst löschen!</vt:lpstr>
    </vt:vector>
  </TitlesOfParts>
  <Manager/>
  <Company>zeb.business school</Company>
  <LinksUpToDate>false</LinksUpToDate>
  <CharactersWithSpaces>41751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Studienarbeit Bachelor Formatvorlage</dc:title>
  <dc:subject/>
  <dc:creator>Regina Lister</dc:creator>
  <cp:keywords/>
  <dc:description/>
  <cp:lastModifiedBy>Michael Looks</cp:lastModifiedBy>
  <cp:revision>2</cp:revision>
  <cp:lastPrinted>2024-07-03T11:15:00Z</cp:lastPrinted>
  <dcterms:created xsi:type="dcterms:W3CDTF">2026-05-26T18:46:00Z</dcterms:created>
  <dcterms:modified xsi:type="dcterms:W3CDTF">2026-05-26T18:46:00Z</dcterms:modified>
  <cp:category/>
</cp:coreProperties>
</file>