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firstLine="851"/>
        <w:jc w:val="both"/>
        <w:rPr>
          <w:rFonts w:ascii="Times New Roman" w:hAnsi="Times New Roman" w:eastAsia="Times New Roman" w:cs="Times New Roman"/>
          <w:color w:val="000000"/>
          <w:sz w:val="24"/>
          <w:szCs w:val="24"/>
          <w:lang w:eastAsia="ru-RU"/>
        </w:rPr>
      </w:pPr>
      <w:bookmarkStart w:id="0" w:name="_GoBack"/>
      <w:r>
        <w:rPr>
          <w:rFonts w:ascii="Times New Roman" w:hAnsi="Times New Roman" w:eastAsia="Times New Roman" w:cs="Times New Roman"/>
          <w:b/>
          <w:bCs/>
          <w:color w:val="000000"/>
          <w:sz w:val="24"/>
          <w:szCs w:val="24"/>
          <w:lang w:val="uz-Cyrl-UZ" w:eastAsia="ru-RU"/>
        </w:rPr>
        <w:t>Т</w:t>
      </w:r>
      <w:r>
        <w:rPr>
          <w:rFonts w:ascii="Times New Roman" w:hAnsi="Times New Roman" w:eastAsia="Times New Roman" w:cs="Times New Roman"/>
          <w:b/>
          <w:bCs/>
          <w:color w:val="000000"/>
          <w:sz w:val="24"/>
          <w:szCs w:val="24"/>
          <w:lang w:eastAsia="ru-RU"/>
        </w:rPr>
        <w:t>ашқи бошқарув</w:t>
      </w:r>
      <w:bookmarkEnd w:id="0"/>
      <w:r>
        <w:rPr>
          <w:rFonts w:ascii="Times New Roman" w:hAnsi="Times New Roman" w:eastAsia="Times New Roman" w:cs="Times New Roman"/>
          <w:color w:val="000000"/>
          <w:sz w:val="24"/>
          <w:szCs w:val="24"/>
          <w:lang w:eastAsia="ru-RU"/>
        </w:rPr>
        <w:t xml:space="preserve"> — қарздор юридик шахсга нисбатан уни молиявий жиҳатдан соғломлаштириш учун қарздорнинг ишларини бошқариш ваколатларини ташқи бошқарувчига ўтказган ҳолда суд томонидан қўлланиладиган тўлов қобилиятини тиклаш тартиб-таомили;</w:t>
      </w:r>
    </w:p>
    <w:p>
      <w:pPr>
        <w:spacing w:after="0" w:line="240" w:lineRule="auto"/>
        <w:ind w:firstLine="851"/>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Агар қарздорнинг тўлов қобилиятини тиклашнинг ҳақиқий имконияти аниқланса, ташқи бошқарув тартиб-таомили кредиторлар йиғилишининг илтимосномаси, устав фондида (устав капиталида) давлат улуши бўлган қарздор бўйича эса ваколатли давлат органининг аризаси асосида суд томонидан ташқи бошқарувчи тайинланган ҳолда жорий этилади. </w:t>
      </w:r>
    </w:p>
    <w:p>
      <w:pPr>
        <w:spacing w:after="0" w:line="240" w:lineRule="auto"/>
        <w:ind w:firstLine="851"/>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Ташқи бошқарув тартиб-таомили, </w:t>
      </w:r>
      <w:r>
        <w:rPr>
          <w:rFonts w:ascii="Times New Roman" w:hAnsi="Times New Roman" w:eastAsia="Times New Roman" w:cs="Times New Roman"/>
          <w:color w:val="000000"/>
          <w:sz w:val="24"/>
          <w:szCs w:val="24"/>
          <w:lang w:val="uz-Cyrl-UZ" w:eastAsia="ru-RU"/>
        </w:rPr>
        <w:t>12</w:t>
      </w:r>
      <w:r>
        <w:rPr>
          <w:rFonts w:ascii="Times New Roman" w:hAnsi="Times New Roman" w:eastAsia="Times New Roman" w:cs="Times New Roman"/>
          <w:color w:val="000000"/>
          <w:sz w:val="24"/>
          <w:szCs w:val="24"/>
          <w:lang w:eastAsia="ru-RU"/>
        </w:rPr>
        <w:t xml:space="preserve"> ойдан </w:t>
      </w:r>
      <w:r>
        <w:rPr>
          <w:rFonts w:ascii="Times New Roman" w:hAnsi="Times New Roman" w:eastAsia="Times New Roman" w:cs="Times New Roman"/>
          <w:color w:val="000000"/>
          <w:sz w:val="24"/>
          <w:szCs w:val="24"/>
          <w:lang w:val="uz-Cyrl-UZ" w:eastAsia="ru-RU"/>
        </w:rPr>
        <w:t>24</w:t>
      </w:r>
      <w:r>
        <w:rPr>
          <w:rFonts w:ascii="Times New Roman" w:hAnsi="Times New Roman" w:eastAsia="Times New Roman" w:cs="Times New Roman"/>
          <w:color w:val="000000"/>
          <w:sz w:val="24"/>
          <w:szCs w:val="24"/>
          <w:lang w:eastAsia="ru-RU"/>
        </w:rPr>
        <w:t xml:space="preserve"> ойгача муддатга жорий этилади.</w:t>
      </w:r>
    </w:p>
    <w:p>
      <w:pPr>
        <w:spacing w:after="150" w:line="240" w:lineRule="auto"/>
        <w:ind w:firstLine="851"/>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Ташқи бошқарув тартиб-таомили жорий этилган пайтдан эътиборан:</w:t>
      </w:r>
    </w:p>
    <w:p>
      <w:pPr>
        <w:spacing w:after="150" w:line="240" w:lineRule="auto"/>
        <w:ind w:firstLine="851"/>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қарздорнинг раҳбари ўз вазифасини бажаришдан четлаштирилади, қарздорнинг ишларини бошқариш ташқи бошқарувчи зиммасига юклатилади. Ташқи бошқарувчи қарздорнинг раҳбари билан тузилган меҳнат шартномасини тугатиш ёки мазкур раҳбарни бошқа ишга ўтказиш тўғрисида буйруқ чиқариши шарт;</w:t>
      </w:r>
    </w:p>
    <w:p>
      <w:pPr>
        <w:spacing w:after="150" w:line="240" w:lineRule="auto"/>
        <w:ind w:firstLine="851"/>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қарздорнинг бошқарув органлари ваколатлари тугатилади. Қарздорнинг раҳбари ва қарздорнинг бошқа бошқарув органлари ваколатлари ташқи бошқарувчига ўтади, бундан ушбу Қонунга мувофиқ бошқа шахсларга (органларга) ўтадиган ваколатлар мустасно. Қарздорнинг бошқарув органлари ва (ёки) тўловга қобилиятсизликнинг илгариги тартиб-таомилида тайинланган суд бошқарувчиси, ташқи бошқарувчи тайинланган пайтдан эътиборан уч иш куни ичида қарздорнинг бухгалтерия ҳужжатлари ва бошқа ҳужжатлари, муҳрлари ва штамплари (муҳрлар ва штамплар мавжуд бўлган тақдирда), моддий ва бошқа қимматликлари ташқи бошқарувчига топширилишини таъминлаши шарт;</w:t>
      </w:r>
    </w:p>
    <w:p>
      <w:pPr>
        <w:spacing w:after="150" w:line="240" w:lineRule="auto"/>
        <w:ind w:firstLine="851"/>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кредиторларнинг талабларини таъминлаш юзасидан илгари кўрилган чора-тадбирлар бекор қилинади;</w:t>
      </w:r>
    </w:p>
    <w:p>
      <w:pPr>
        <w:spacing w:after="150" w:line="240" w:lineRule="auto"/>
        <w:ind w:firstLine="851"/>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қарздорнинг мол-мулкини хатлаш ва қарздорга нисбатан унинг ўзига тегишли мол-мулкни тасарруф этиш борасидаги ваколатларининг бошқача тарздаги чекловлари фақат тўловга қобилиятсизлик тартиб-таомиллари доирасида қўлланилиши мумкин;</w:t>
      </w:r>
    </w:p>
    <w:p>
      <w:pPr>
        <w:spacing w:after="150" w:line="240" w:lineRule="auto"/>
        <w:ind w:firstLine="851"/>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тўловга қобилиятсизлик тўғрисидаги иш жараёнида вужудга келган барча турдаги жорий солиқ тўловларини (бундан иш ҳақи ва унга тенглаштирилган тўловлар бўйича солиқлар мустасно) тўлаш тўхтатиб турилади ва ташқи бошқарув тартиб-таомили жараёнининг муддати якунланганидан кейин тўланади. Бундай ҳолда суд ташқи бошқарувчининг ҳисоботи тасдиқланган ҳамда қарздорга нисбатан қўзғатилган тўловга қобилиятсизлик тўғрисидаги ишни юритишни тугатиш ҳақида қарор чиқарган санадан эътиборан ушбу солиқ қарзлари олти ой давомида тенг миқдорда бўлиб-бўлиб тўланади;</w:t>
      </w:r>
    </w:p>
    <w:p>
      <w:pPr>
        <w:spacing w:after="150" w:line="240" w:lineRule="auto"/>
        <w:ind w:firstLine="851"/>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қарздорнинг пул мажбуриятлари ва (ёки) солиқлари ҳамда йиғимлари юзасидан кредиторлар талабларининг қаноатлантирилишига нисбатан мораторий жорий этилади, бундан ушбу Қонуннинг </w:t>
      </w:r>
      <w:r>
        <w:fldChar w:fldCharType="begin"/>
      </w:r>
      <w:r>
        <w:instrText xml:space="preserve"> HYPERLINK "https://lex.uz/ru/docs/5957612" \l "5961245" </w:instrText>
      </w:r>
      <w:r>
        <w:fldChar w:fldCharType="separate"/>
      </w:r>
      <w:r>
        <w:rPr>
          <w:rFonts w:ascii="Times New Roman" w:hAnsi="Times New Roman" w:eastAsia="Times New Roman" w:cs="Times New Roman"/>
          <w:color w:val="000000"/>
          <w:sz w:val="24"/>
          <w:szCs w:val="24"/>
          <w:lang w:eastAsia="ru-RU"/>
        </w:rPr>
        <w:t>110-моддасида </w:t>
      </w:r>
      <w:r>
        <w:rPr>
          <w:rFonts w:ascii="Times New Roman" w:hAnsi="Times New Roman" w:eastAsia="Times New Roman" w:cs="Times New Roman"/>
          <w:color w:val="000000"/>
          <w:sz w:val="24"/>
          <w:szCs w:val="24"/>
          <w:lang w:eastAsia="ru-RU"/>
        </w:rPr>
        <w:fldChar w:fldCharType="end"/>
      </w:r>
      <w:r>
        <w:rPr>
          <w:rFonts w:ascii="Times New Roman" w:hAnsi="Times New Roman" w:eastAsia="Times New Roman" w:cs="Times New Roman"/>
          <w:color w:val="000000"/>
          <w:sz w:val="24"/>
          <w:szCs w:val="24"/>
          <w:lang w:eastAsia="ru-RU"/>
        </w:rPr>
        <w:t>назарда тутилган ҳоллар мустасно.</w:t>
      </w:r>
    </w:p>
    <w:p>
      <w:pPr>
        <w:spacing w:after="150" w:line="240" w:lineRule="auto"/>
        <w:ind w:firstLine="851"/>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Ташқи бошқарув тартиб-таомили жорий этилгунига қадар қарздорнинг мажбуриятлар бажарилиши таъминоти сифатида берилган мол-мулкидан фойдаланишдан мазкур тартиб-таомил жорий этилганидан кейин олинган ҳосилга, маҳсулотга ва даромадларга нисбатан кредиторнинг ўз талабларини бажариш таъминоти сифатидаги ҳуқуқи татбиқ этилмайди.</w:t>
      </w:r>
    </w:p>
    <w:p>
      <w:pPr>
        <w:shd w:val="clear" w:color="auto" w:fill="FFFFFF" w:themeFill="background1"/>
        <w:spacing w:after="150" w:line="240" w:lineRule="auto"/>
        <w:ind w:firstLine="851"/>
        <w:jc w:val="both"/>
        <w:rPr>
          <w:rFonts w:ascii="Montserrat" w:hAnsi="Montserrat"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Ташқи бошқарув тартиб-таомили тугаганидан кейин пул мажбуриятлари ва (ёки) солиқлар ҳамда йиғимлар бўйича кредиторларга қарздор тўлаши шарт бўлган неустойка (жарима, пеня), шунингдек етказилган зарарнинг суммалари ташқи бошқарув тартиб-таомилини жорий этиш пайтидаги мавжуд миқдорларда тўлаш учун тақдим этилиши мумкин</w:t>
      </w:r>
      <w:r>
        <w:rPr>
          <w:rFonts w:ascii="Montserrat" w:hAnsi="Montserrat" w:eastAsia="Times New Roman" w:cs="Times New Roman"/>
          <w:color w:val="000000"/>
          <w:sz w:val="24"/>
          <w:szCs w:val="24"/>
          <w:lang w:eastAsia="ru-RU"/>
        </w:rPr>
        <w:t>.</w:t>
      </w:r>
    </w:p>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Lucida Sans Unicode"/>
    <w:panose1 w:val="020F0502020204030204"/>
    <w:charset w:val="86"/>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等线">
    <w:altName w:val="Overpass Nerd Font Propo Thin"/>
    <w:panose1 w:val="00000000000000000000"/>
    <w:charset w:val="86"/>
    <w:family w:val="auto"/>
    <w:pitch w:val="default"/>
    <w:sig w:usb0="00000000" w:usb1="00000000" w:usb2="00000000" w:usb3="00000000" w:csb0="00000000" w:csb1="00000000"/>
  </w:font>
  <w:font w:name="Overpass Nerd Font Propo Thin">
    <w:panose1 w:val="00000200000000000000"/>
    <w:charset w:val="00"/>
    <w:family w:val="auto"/>
    <w:pitch w:val="default"/>
    <w:sig w:usb0="00000003" w:usb1="00000020" w:usb2="00000000" w:usb3="00000000" w:csb0="20000093" w:csb1="00000000"/>
  </w:font>
  <w:font w:name="Calibri">
    <w:altName w:val="Lucida Sans Unicode"/>
    <w:panose1 w:val="020F0502020204030204"/>
    <w:charset w:val="CC"/>
    <w:family w:val="swiss"/>
    <w:pitch w:val="default"/>
    <w:sig w:usb0="00000000" w:usb1="00000000" w:usb2="00000009" w:usb3="00000000" w:csb0="000001FF" w:csb1="00000000"/>
  </w:font>
  <w:font w:name="Calibri">
    <w:altName w:val="Lucida Sans Unicode"/>
    <w:panose1 w:val="00000000000000000000"/>
    <w:charset w:val="00"/>
    <w:family w:val="auto"/>
    <w:pitch w:val="default"/>
    <w:sig w:usb0="00000000" w:usb1="00000000" w:usb2="00000000" w:usb3="00000000" w:csb0="00000000" w:csb1="00000000"/>
  </w:font>
  <w:font w:name="Montserrat">
    <w:panose1 w:val="00000000000000000000"/>
    <w:charset w:val="CC"/>
    <w:family w:val="auto"/>
    <w:pitch w:val="default"/>
    <w:sig w:usb0="A00002FF" w:usb1="4000247B" w:usb2="00000000" w:usb3="00000000" w:csb0="2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D0"/>
    <w:rsid w:val="000F5A3F"/>
    <w:rsid w:val="001D33EB"/>
    <w:rsid w:val="001F3A20"/>
    <w:rsid w:val="002C67AE"/>
    <w:rsid w:val="003C727F"/>
    <w:rsid w:val="00413BF2"/>
    <w:rsid w:val="0063307E"/>
    <w:rsid w:val="006F33ED"/>
    <w:rsid w:val="00802080"/>
    <w:rsid w:val="00815102"/>
    <w:rsid w:val="00894F9A"/>
    <w:rsid w:val="00916D7E"/>
    <w:rsid w:val="0099018C"/>
    <w:rsid w:val="00997105"/>
    <w:rsid w:val="009E33FB"/>
    <w:rsid w:val="009F4194"/>
    <w:rsid w:val="00A0792C"/>
    <w:rsid w:val="00B2033E"/>
    <w:rsid w:val="00D37388"/>
    <w:rsid w:val="00EE25D0"/>
    <w:rsid w:val="3E1B3D3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510</Words>
  <Characters>2907</Characters>
  <Lines>24</Lines>
  <Paragraphs>6</Paragraphs>
  <TotalTime>13</TotalTime>
  <ScaleCrop>false</ScaleCrop>
  <LinksUpToDate>false</LinksUpToDate>
  <CharactersWithSpaces>3411</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2025-07-28T16:04:00Z</dcterms:created>
  <dc:creator>Navruzjon Musayev</dc:creator>
  <cp:lastModifiedBy>looksmaxxer11</cp:lastModifiedBy>
  <dcterms:modified xsi:type="dcterms:W3CDTF">2025-08-09T10:50:01Z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