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A93"/>
          <w:sz w:val="96"/>
          <w:szCs w:val="96"/>
        </w:rPr>
        <w:t xml:space="preserve">EduClaw</w:t>
      </w:r>
    </w:p>
    <w:p>
      <w:pPr>
        <w:spacing w:after="120"/>
        <w:jc w:val="center"/>
      </w:pPr>
      <w:r>
        <w:rPr>
          <w:b/>
          <w:bCs/>
          <w:color w:val="2D9CDB"/>
          <w:sz w:val="36"/>
          <w:szCs w:val="36"/>
        </w:rPr>
        <w:t xml:space="preserve">AI Agent Design Framework for Higher Education</w:t>
      </w:r>
    </w:p>
    <w:p>
      <w:pPr>
        <w:spacing w:after="600"/>
        <w:jc w:val="center"/>
      </w:pPr>
      <w:r>
        <w:rPr>
          <w:i/>
          <w:iCs/>
          <w:color w:val="2C3E50"/>
          <w:sz w:val="28"/>
          <w:szCs w:val="28"/>
        </w:rPr>
        <w:t xml:space="preserve">Complete Build Plan and Architecture Blueprint</w:t>
      </w:r>
    </w:p>
    <w:p>
      <w:pPr>
        <w:pBdr>
          <w:top w:val="single" w:color="1F3A93" w:sz="12" w:space="8"/>
        </w:pBdr>
        <w:spacing w:after="240"/>
        <w:jc w:val="center"/>
      </w:pPr>
      <w:r>
        <w:t xml:space="preserve"/>
      </w:r>
    </w:p>
    <w:p>
      <w:pPr>
        <w:spacing w:after="60"/>
        <w:jc w:val="center"/>
      </w:pPr>
      <w:r>
        <w:rPr>
          <w:color w:val="555555"/>
          <w:sz w:val="24"/>
          <w:szCs w:val="24"/>
        </w:rPr>
        <w:t xml:space="preserve">Guiding the Next Generation of Learning in the Age of Agentic AI</w:t>
      </w:r>
    </w:p>
    <w:p>
      <w:pPr>
        <w:spacing w:after="60" w:before="1600"/>
        <w:jc w:val="center"/>
      </w:pPr>
      <w:r>
        <w:rPr>
          <w:color w:val="2C3E50"/>
          <w:sz w:val="22"/>
          <w:szCs w:val="22"/>
        </w:rPr>
        <w:t xml:space="preserve">Prepared for: Praveen</w:t>
      </w:r>
    </w:p>
    <w:p>
      <w:pPr>
        <w:spacing w:after="60"/>
        <w:jc w:val="center"/>
      </w:pPr>
      <w:r>
        <w:rPr>
          <w:color w:val="2C3E50"/>
          <w:sz w:val="22"/>
          <w:szCs w:val="22"/>
        </w:rPr>
        <w:t xml:space="preserve">Prepared by: EduClaw Build Team</w:t>
      </w:r>
    </w:p>
    <w:p>
      <w:pPr>
        <w:spacing w:after="60"/>
        <w:jc w:val="center"/>
      </w:pPr>
      <w:r>
        <w:rPr>
          <w:color w:val="2C3E50"/>
          <w:sz w:val="22"/>
          <w:szCs w:val="22"/>
        </w:rPr>
        <w:t xml:space="preserve">Version 1.0  |  May 2026</w:t>
      </w:r>
    </w:p>
    <w:p>
      <w:r>
        <w:br w:type="page"/>
      </w:r>
    </w:p>
    <w:p>
      <w:pPr>
        <w:spacing w:after="240"/>
      </w:pPr>
      <w:r>
        <w:rPr>
          <w:b/>
          <w:bCs/>
          <w:color w:val="1F3A93"/>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EduClaw is an AI Agent Design Framework purpose-built for higher education. While most institutions are racing to deploy AI as a faster way to deliver answers, EduClaw takes a fundamentally different position: AI in education must be designed to guide learning, not replace it. The framework introduces a multi-agent system that diagnoses learner intent, structures dialogue, takes action, validates reasoning, and prompts reflection — together forming a Guided Learning Cycle.</w:t>
      </w:r>
    </w:p>
    <w:p>
      <w:pPr>
        <w:spacing w:after="120"/>
      </w:pPr>
      <w:r>
        <w:t xml:space="preserve">This document is the complete build plan for EduClaw as an enterprise-grade platform. It covers the full architecture across the Learning &amp; Cognitive Layer (TwinAgent), the Agent Orchestration Layer, and the Integration Layer; the technology stack recommendation; the design specifications for all six agent patterns; institutional integrations with LMS, SIS/CRM, and Identity systems; the application surfaces (Web portal, LMS-embedded LTI, Mobile, and Chat); a phased 18-month delivery roadmap; governance and FERPA-aligned safeguards; and a high-level investment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AF2FB" w:val="clear"/>
            <w:tcMar>
              <w:top w:type="dxa" w:w="160"/>
              <w:left w:type="dxa" w:w="200"/>
              <w:bottom w:type="dxa" w:w="160"/>
              <w:right w:type="dxa" w:w="200"/>
            </w:tcMar>
          </w:tcPr>
          <w:p>
            <w:pPr>
              <w:spacing w:after="80"/>
            </w:pPr>
            <w:r>
              <w:rPr>
                <w:b/>
                <w:bCs/>
                <w:color w:val="1F3A93"/>
                <w:sz w:val="22"/>
                <w:szCs w:val="22"/>
              </w:rPr>
              <w:t xml:space="preserve">Strategic Premise</w:t>
            </w:r>
          </w:p>
          <w:p>
            <w:r>
              <w:rPr>
                <w:sz w:val="22"/>
                <w:szCs w:val="22"/>
              </w:rPr>
              <w:t xml:space="preserve">If higher education continues to deploy AI as a shortcut tool, we risk accelerating completion while weakening learning. EduClaw redefines AI in education from an answer engine into a learning companion system — built to develop capability, not just deliver content.</w:t>
            </w:r>
          </w:p>
        </w:tc>
      </w:tr>
    </w:tbl>
    <w:p>
      <w:pPr>
        <w:spacing w:after="120"/>
      </w:pPr>
      <w:r>
        <w:t xml:space="preserve"/>
      </w:r>
    </w:p>
    <w:p>
      <w:pPr>
        <w:pStyle w:val="Heading2"/>
      </w:pPr>
      <w:r>
        <w:t xml:space="preserve">1.1 What This Plan Delivers</w:t>
      </w:r>
    </w:p>
    <w:p>
      <w:pPr>
        <w:pStyle w:val="ListParagraph"/>
        <w:numPr>
          <w:ilvl w:val="0"/>
          <w:numId w:val="2"/>
        </w:numPr>
        <w:spacing w:after="60"/>
      </w:pPr>
      <w:r>
        <w:t xml:space="preserve">A reference architecture spanning all three EduClaw layers with explicit components, contracts, and data flows.</w:t>
      </w:r>
    </w:p>
    <w:p>
      <w:pPr>
        <w:pStyle w:val="ListParagraph"/>
        <w:numPr>
          <w:ilvl w:val="0"/>
          <w:numId w:val="2"/>
        </w:numPr>
        <w:spacing w:after="60"/>
      </w:pPr>
      <w:r>
        <w:t xml:space="preserve">Detailed agent specifications for the six core design patterns: Inference, Dialogue, Execution, Validation, Reflection, and Multi-Agent Orchestration.</w:t>
      </w:r>
    </w:p>
    <w:p>
      <w:pPr>
        <w:pStyle w:val="ListParagraph"/>
        <w:numPr>
          <w:ilvl w:val="0"/>
          <w:numId w:val="2"/>
        </w:numPr>
        <w:spacing w:after="60"/>
      </w:pPr>
      <w:r>
        <w:t xml:space="preserve">A pragmatic technology stack centered on Claude (Opus 4.6, Sonnet 4.6, Haiku 4.5) with the Claude Agent SDK, MCP-based tool integration, and a hybrid orchestration pattern.</w:t>
      </w:r>
    </w:p>
    <w:p>
      <w:pPr>
        <w:pStyle w:val="ListParagraph"/>
        <w:numPr>
          <w:ilvl w:val="0"/>
          <w:numId w:val="2"/>
        </w:numPr>
        <w:spacing w:after="60"/>
      </w:pPr>
      <w:r>
        <w:t xml:space="preserve">Surface delivery plans for Web portal, LMS-embedded LTI 1.3, native Mobile, and Chat (Slack/Teams).</w:t>
      </w:r>
    </w:p>
    <w:p>
      <w:pPr>
        <w:pStyle w:val="ListParagraph"/>
        <w:numPr>
          <w:ilvl w:val="0"/>
          <w:numId w:val="2"/>
        </w:numPr>
        <w:spacing w:after="60"/>
      </w:pPr>
      <w:r>
        <w:t xml:space="preserve">Integration blueprints for LMS (Canvas, Blackboard, Moodle, D2L), SIS/CRM (Banner, Workday, Salesforce), and SSO (Okta, Azure AD, Shibboleth).</w:t>
      </w:r>
    </w:p>
    <w:p>
      <w:pPr>
        <w:pStyle w:val="ListParagraph"/>
        <w:numPr>
          <w:ilvl w:val="0"/>
          <w:numId w:val="2"/>
        </w:numPr>
        <w:spacing w:after="60"/>
      </w:pPr>
      <w:r>
        <w:t xml:space="preserve">An 18-month phased roadmap with budget ranges, KPIs, and a governance model that addresses FERPA, academic integrity, and responsible AI.</w:t>
      </w:r>
    </w:p>
    <w:p>
      <w:r>
        <w:br w:type="page"/>
      </w:r>
    </w:p>
    <w:p>
      <w:pPr>
        <w:pStyle w:val="Heading1"/>
      </w:pPr>
      <w:r>
        <w:t xml:space="preserve">2. The EduClaw Vision</w:t>
      </w:r>
    </w:p>
    <w:p>
      <w:pPr>
        <w:spacing w:after="120"/>
      </w:pPr>
      <w:r>
        <w:t xml:space="preserve">EduClaw rests on a simple but consequential shift: from answers to understanding, and from completion to capability. Every student gets a personal AI Learning Companion. Every course gets a guided AI Learning Assistant. Every institutional system — advising, library, registration, financial aid — gets a connected AI agent. The ambition is not faster homework; it is a coherent, guided learning environment that develops judgment, questioning, and problem framing as primary outcomes.</w:t>
      </w:r>
    </w:p>
    <w:p>
      <w:pPr>
        <w:pStyle w:val="Heading2"/>
      </w:pPr>
      <w:r>
        <w:t xml:space="preserve">2.1 Three Pillars of the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Pillar</w:t>
            </w:r>
          </w:p>
        </w:tc>
        <w:tc>
          <w:tcPr>
            <w:tcW w:type="dxa" w:w="358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What It Means</w:t>
            </w:r>
          </w:p>
        </w:tc>
        <w:tc>
          <w:tcPr>
            <w:tcW w:type="dxa" w:w="358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Why It Matters</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Every Student</w:t>
            </w:r>
          </w:p>
        </w:tc>
        <w:tc>
          <w:tcPr>
            <w:tcW w:type="dxa" w:w="358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A personal AI Learning Companion that knows the learner's goals, history, and gaps.</w:t>
            </w:r>
          </w:p>
        </w:tc>
        <w:tc>
          <w:tcPr>
            <w:tcW w:type="dxa" w:w="358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Personalization at scale that develops capability, not dependence.</w:t>
            </w:r>
          </w:p>
        </w:tc>
      </w:tr>
      <w:tr>
        <w:tc>
          <w:tcPr>
            <w:tcW w:type="dxa" w:w="22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Every Course</w:t>
            </w:r>
          </w:p>
        </w:tc>
        <w:tc>
          <w:tcPr>
            <w:tcW w:type="dxa" w:w="358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A guided AI Learning Assistant aligned to course outcomes and faculty intent.</w:t>
            </w:r>
          </w:p>
        </w:tc>
        <w:tc>
          <w:tcPr>
            <w:tcW w:type="dxa" w:w="358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Pedagogically aligned support inside every course, every week.</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Every System</w:t>
            </w:r>
          </w:p>
        </w:tc>
        <w:tc>
          <w:tcPr>
            <w:tcW w:type="dxa" w:w="358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AI agents connected to LMS, SIS, library, advising, and operations.</w:t>
            </w:r>
          </w:p>
        </w:tc>
        <w:tc>
          <w:tcPr>
            <w:tcW w:type="dxa" w:w="358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An institution-wide nervous system that supports the whole student journey.</w:t>
            </w:r>
          </w:p>
        </w:tc>
      </w:tr>
    </w:tbl>
    <w:p>
      <w:pPr>
        <w:spacing w:after="120"/>
      </w:pPr>
      <w:r>
        <w:t xml:space="preserve"/>
      </w:r>
    </w:p>
    <w:p>
      <w:pPr>
        <w:pStyle w:val="Heading2"/>
      </w:pPr>
      <w:r>
        <w:t xml:space="preserve">2.2 From Answer Engine to Learning Companion System</w:t>
      </w:r>
    </w:p>
    <w:p>
      <w:pPr>
        <w:spacing w:after="120"/>
      </w:pPr>
      <w:r>
        <w:t xml:space="preserve">EduClaw moves AI's role in education along a clear trajectory. Today's deployments largely treat AI as an answer engine — fast, frictionless, and indifferent to whether real learning occurs. EduClaw repositions AI as a learning companion system: a network of specialized agents that help students understand what they don't know, ask better questions, act with support, validate their thinking, and reflect on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AF2FB" w:val="clear"/>
            <w:tcMar>
              <w:top w:type="dxa" w:w="160"/>
              <w:left w:type="dxa" w:w="200"/>
              <w:bottom w:type="dxa" w:w="160"/>
              <w:right w:type="dxa" w:w="200"/>
            </w:tcMar>
          </w:tcPr>
          <w:p>
            <w:pPr>
              <w:spacing w:after="80"/>
            </w:pPr>
            <w:r>
              <w:rPr>
                <w:b/>
                <w:bCs/>
                <w:color w:val="1F3A93"/>
                <w:sz w:val="22"/>
                <w:szCs w:val="22"/>
              </w:rPr>
              <w:t xml:space="preserve">Key Insight</w:t>
            </w:r>
          </w:p>
          <w:p>
            <w:r>
              <w:rPr>
                <w:sz w:val="22"/>
                <w:szCs w:val="22"/>
              </w:rPr>
              <w:t xml:space="preserve">The future of AI in education is not a better tutor. It is a guided learning system that helps students understand what they don't know, ask better questions, act with support, validate their thinking, and reflect and grow.</w:t>
            </w:r>
          </w:p>
        </w:tc>
      </w:tr>
    </w:tbl>
    <w:p>
      <w:r>
        <w:br w:type="page"/>
      </w:r>
    </w:p>
    <w:p>
      <w:pPr>
        <w:pStyle w:val="Heading1"/>
      </w:pPr>
      <w:r>
        <w:t xml:space="preserve">3. Recommended Technology Stack</w:t>
      </w:r>
    </w:p>
    <w:p>
      <w:pPr>
        <w:spacing w:after="120"/>
      </w:pPr>
      <w:r>
        <w:t xml:space="preserve">After evaluating Claude with the Anthropic SDK, LangGraph multi-agent frameworks, and Microsoft Semantic Kernel/AutoGen against EduClaw's requirements (high-stakes pedagogy, FERPA boundaries, multi-agent reasoning, deep tool integration, and long-horizon learner state), the recommended stack is Claude-first with a hybrid orchestration layer. Claude provides the strongest reasoning quality, native tool use, MCP-based integration, and the safety posture required for student-facing AI.</w:t>
      </w:r>
    </w:p>
    <w:p>
      <w:pPr>
        <w:pStyle w:val="Heading2"/>
      </w:pPr>
      <w:r>
        <w:t xml:space="preserve">3.1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Layer</w:t>
            </w:r>
          </w:p>
        </w:tc>
        <w:tc>
          <w:tcPr>
            <w:tcW w:type="dxa" w:w="33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Recommendation</w:t>
            </w:r>
          </w:p>
        </w:tc>
        <w:tc>
          <w:tcPr>
            <w:tcW w:type="dxa" w:w="426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Rationale</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Foundation Models</w:t>
            </w:r>
          </w:p>
        </w:tc>
        <w:tc>
          <w:tcPr>
            <w:tcW w:type="dxa" w:w="33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Claude Opus 4.6 (deep reasoning, validation, complex advising)</w:t>
            </w:r>
          </w:p>
          <w:p>
            <w:r>
              <w:rPr>
                <w:sz w:val="20"/>
                <w:szCs w:val="20"/>
              </w:rPr>
              <w:t xml:space="preserve">Claude Sonnet 4.6 (default for most agents)</w:t>
            </w:r>
          </w:p>
          <w:p>
            <w:r>
              <w:rPr>
                <w:sz w:val="20"/>
                <w:szCs w:val="20"/>
              </w:rPr>
              <w:t xml:space="preserve">Claude Haiku 4.5 (high-volume, low-latency: inference triage, intent classification)</w:t>
            </w:r>
          </w:p>
        </w:tc>
        <w:tc>
          <w:tcPr>
            <w:tcW w:type="dxa" w:w="42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Tiered model use balances quality and cost. Opus reserved for validation and complex multi-step planning.</w:t>
            </w:r>
          </w:p>
        </w:tc>
      </w:tr>
      <w:tr>
        <w:tc>
          <w:tcPr>
            <w:tcW w:type="dxa" w:w="18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Agent SDK</w:t>
            </w:r>
          </w:p>
        </w:tc>
        <w:tc>
          <w:tcPr>
            <w:tcW w:type="dxa" w:w="33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Claude Agent SDK (Python primary, TypeScript for web)</w:t>
            </w:r>
          </w:p>
        </w:tc>
        <w:tc>
          <w:tcPr>
            <w:tcW w:type="dxa" w:w="42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First-class tool use, sub-agents, memory, and MCP support.</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Orchestration</w:t>
            </w:r>
          </w:p>
        </w:tc>
        <w:tc>
          <w:tcPr>
            <w:tcW w:type="dxa" w:w="33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Hybrid: Claude Agent SDK sub-agents + LangGraph for deterministic multi-agent workflows</w:t>
            </w:r>
          </w:p>
        </w:tc>
        <w:tc>
          <w:tcPr>
            <w:tcW w:type="dxa" w:w="42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SDK for natural agent delegation; LangGraph where strict state machines and audit trails matter (e.g., academic integrity reviews).</w:t>
            </w:r>
          </w:p>
        </w:tc>
      </w:tr>
      <w:tr>
        <w:tc>
          <w:tcPr>
            <w:tcW w:type="dxa" w:w="18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Tool Integration</w:t>
            </w:r>
          </w:p>
        </w:tc>
        <w:tc>
          <w:tcPr>
            <w:tcW w:type="dxa" w:w="33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Model Context Protocol (MCP) servers per system (LMS, SIS, Library, Identity)</w:t>
            </w:r>
          </w:p>
        </w:tc>
        <w:tc>
          <w:tcPr>
            <w:tcW w:type="dxa" w:w="42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Standardized, auditable, and reusable across surfaces.</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Vector / Knowledge</w:t>
            </w:r>
          </w:p>
        </w:tc>
        <w:tc>
          <w:tcPr>
            <w:tcW w:type="dxa" w:w="33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pgvector on Postgres (primary); OpenSearch for hybrid search; Claude file search for course materials</w:t>
            </w:r>
          </w:p>
        </w:tc>
        <w:tc>
          <w:tcPr>
            <w:tcW w:type="dxa" w:w="42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Avoids a separate vector vendor; keeps PII boundaries tight inside the same DB.</w:t>
            </w:r>
          </w:p>
        </w:tc>
      </w:tr>
      <w:tr>
        <w:tc>
          <w:tcPr>
            <w:tcW w:type="dxa" w:w="18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Backend</w:t>
            </w:r>
          </w:p>
        </w:tc>
        <w:tc>
          <w:tcPr>
            <w:tcW w:type="dxa" w:w="33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Python (FastAPI) for agent runtime; Node/TypeScript for surfaces</w:t>
            </w:r>
          </w:p>
        </w:tc>
        <w:tc>
          <w:tcPr>
            <w:tcW w:type="dxa" w:w="42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Python for ML/LLM tooling; TS for web/mobile/chat surfaces.</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Frontend</w:t>
            </w:r>
          </w:p>
        </w:tc>
        <w:tc>
          <w:tcPr>
            <w:tcW w:type="dxa" w:w="33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Next.js (Web), React Native (Mobile), Tailwind + Radix UI, LTI 1.3 (LMS)</w:t>
            </w:r>
          </w:p>
        </w:tc>
        <w:tc>
          <w:tcPr>
            <w:tcW w:type="dxa" w:w="42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Single design system across surfaces; standards-based LMS embed.</w:t>
            </w:r>
          </w:p>
        </w:tc>
      </w:tr>
      <w:tr>
        <w:tc>
          <w:tcPr>
            <w:tcW w:type="dxa" w:w="18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Data Plane</w:t>
            </w:r>
          </w:p>
        </w:tc>
        <w:tc>
          <w:tcPr>
            <w:tcW w:type="dxa" w:w="33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Postgres (OLTP), Snowflake/BigQuery (analytics), Kafka or Redpanda (event bus)</w:t>
            </w:r>
          </w:p>
        </w:tc>
        <w:tc>
          <w:tcPr>
            <w:tcW w:type="dxa" w:w="42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Separation of operational and analytical planes for KPI reporting.</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Identity &amp; Access</w:t>
            </w:r>
          </w:p>
        </w:tc>
        <w:tc>
          <w:tcPr>
            <w:tcW w:type="dxa" w:w="33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Okta or Azure AD via OIDC/SAML; Shibboleth for federated higher-ed</w:t>
            </w:r>
          </w:p>
        </w:tc>
        <w:tc>
          <w:tcPr>
            <w:tcW w:type="dxa" w:w="42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Standards-aligned with US higher ed.</w:t>
            </w:r>
          </w:p>
        </w:tc>
      </w:tr>
      <w:tr>
        <w:tc>
          <w:tcPr>
            <w:tcW w:type="dxa" w:w="18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Observability</w:t>
            </w:r>
          </w:p>
        </w:tc>
        <w:tc>
          <w:tcPr>
            <w:tcW w:type="dxa" w:w="33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OpenTelemetry, Langfuse for LLM traces, Grafana/Prometheus, Sentry</w:t>
            </w:r>
          </w:p>
        </w:tc>
        <w:tc>
          <w:tcPr>
            <w:tcW w:type="dxa" w:w="42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End-to-end tracing of agent decisions and tool calls.</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Cloud / Infra</w:t>
            </w:r>
          </w:p>
        </w:tc>
        <w:tc>
          <w:tcPr>
            <w:tcW w:type="dxa" w:w="33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AWS (primary) or Azure; Terraform; Kubernetes (EKS/AKS); private VPC; KMS-encrypted storage</w:t>
            </w:r>
          </w:p>
        </w:tc>
        <w:tc>
          <w:tcPr>
            <w:tcW w:type="dxa" w:w="42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Mature higher-ed compliance posture.</w:t>
            </w:r>
          </w:p>
        </w:tc>
      </w:tr>
      <w:tr>
        <w:tc>
          <w:tcPr>
            <w:tcW w:type="dxa" w:w="18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Evals &amp; Safety</w:t>
            </w:r>
          </w:p>
        </w:tc>
        <w:tc>
          <w:tcPr>
            <w:tcW w:type="dxa" w:w="33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Custom EduClaw eval harness, red-team suite, content filters, FERPA scope guards</w:t>
            </w:r>
          </w:p>
        </w:tc>
        <w:tc>
          <w:tcPr>
            <w:tcW w:type="dxa" w:w="42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Pedagogy-aligned evals are the moat — generic LLM evals are insufficient.</w:t>
            </w:r>
          </w:p>
        </w:tc>
      </w:tr>
    </w:tbl>
    <w:p>
      <w:pPr>
        <w:spacing w:after="120"/>
      </w:pPr>
      <w:r>
        <w:t xml:space="preserve"/>
      </w:r>
    </w:p>
    <w:p>
      <w:pPr>
        <w:pStyle w:val="Heading2"/>
      </w:pPr>
      <w:r>
        <w:t xml:space="preserve">3.2 Why Claude-First (vs. Pure Open-Source Multi-Agent)</w:t>
      </w:r>
    </w:p>
    <w:p>
      <w:pPr>
        <w:spacing w:after="120"/>
      </w:pPr>
      <w:r>
        <w:t xml:space="preserve">LangGraph and AutoGen are excellent at orchestration mechanics, but the agent quality ceiling is set by the underlying model. EduClaw's Validation and Reflection agents in particular demand careful reasoning, calibrated uncertainty, and instruction-following under nuanced policy — areas where Claude leads. The recommended hybrid retains LangGraph for parts of the system that benefit from explicit, auditable graphs (e.g., academic integrity workflows, escalation paths) while leaning on the Claude Agent SDK and MCP for the bulk of agent-to-tool interaction.</w:t>
      </w:r>
    </w:p>
    <w:p>
      <w:pPr>
        <w:pStyle w:val="Heading2"/>
      </w:pPr>
      <w:r>
        <w:t xml:space="preserve">3.3 Build vs. Buy Posture</w:t>
      </w:r>
    </w:p>
    <w:p>
      <w:pPr>
        <w:pStyle w:val="ListParagraph"/>
        <w:numPr>
          <w:ilvl w:val="0"/>
          <w:numId w:val="2"/>
        </w:numPr>
        <w:spacing w:after="60"/>
      </w:pPr>
      <w:r>
        <w:t xml:space="preserve">Build: TwinAgent runtime, agent prompts and policies, eval harness, learner-state model, EduClaw-specific MCP servers.</w:t>
      </w:r>
    </w:p>
    <w:p>
      <w:pPr>
        <w:pStyle w:val="ListParagraph"/>
        <w:numPr>
          <w:ilvl w:val="0"/>
          <w:numId w:val="2"/>
        </w:numPr>
        <w:spacing w:after="60"/>
      </w:pPr>
      <w:r>
        <w:t xml:space="preserve">Buy / use: Foundation models, identity, LMS/SIS APIs, observability, vector indexes, content filters.</w:t>
      </w:r>
    </w:p>
    <w:p>
      <w:pPr>
        <w:pStyle w:val="ListParagraph"/>
        <w:numPr>
          <w:ilvl w:val="0"/>
          <w:numId w:val="2"/>
        </w:numPr>
        <w:spacing w:after="60"/>
      </w:pPr>
      <w:r>
        <w:t xml:space="preserve">Open-source where strategic: orchestration graphs, evaluation tooling, MCP server reference implementations contributed back to the ecosystem.</w:t>
      </w:r>
    </w:p>
    <w:p>
      <w:r>
        <w:br w:type="page"/>
      </w:r>
    </w:p>
    <w:p>
      <w:pPr>
        <w:pStyle w:val="Heading1"/>
      </w:pPr>
      <w:r>
        <w:t xml:space="preserve">4. System Architecture</w:t>
      </w:r>
    </w:p>
    <w:p>
      <w:pPr>
        <w:spacing w:after="120"/>
      </w:pPr>
      <w:r>
        <w:t xml:space="preserve">The EduClaw architecture is a three-layer stack that mirrors the framework: a Learning &amp; Cognitive Layer (the TwinAgent), an Agent Orchestration Layer (routing, memory, tools, policies, workflows), and an Integration Layer that connects to institutional systems. Above these layers sit the Application Surfaces; below them sits a shared Data, Identity, and Observability foundation.</w:t>
      </w:r>
    </w:p>
    <w:p>
      <w:pPr>
        <w:pStyle w:val="Heading2"/>
      </w:pPr>
      <w:r>
        <w:t xml:space="preserve">4.1 Layered Reference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Layer</w:t>
            </w:r>
          </w:p>
        </w:tc>
        <w:tc>
          <w:tcPr>
            <w:tcW w:type="dxa" w:w="358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Components</w:t>
            </w:r>
          </w:p>
        </w:tc>
        <w:tc>
          <w:tcPr>
            <w:tcW w:type="dxa" w:w="358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Responsibility</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Application Surfaces</w:t>
            </w:r>
          </w:p>
        </w:tc>
        <w:tc>
          <w:tcPr>
            <w:tcW w:type="dxa" w:w="358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Web Portal, LMS Embed (LTI 1.3), Mobile (iOS/Android), Chat (Slack/Teams)</w:t>
            </w:r>
          </w:p>
        </w:tc>
        <w:tc>
          <w:tcPr>
            <w:tcW w:type="dxa" w:w="358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Adaptive UX; consistent experience across surfaces.</w:t>
            </w:r>
          </w:p>
        </w:tc>
      </w:tr>
      <w:tr>
        <w:tc>
          <w:tcPr>
            <w:tcW w:type="dxa" w:w="22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Learning &amp; Cognitive (TwinAgent)</w:t>
            </w:r>
          </w:p>
        </w:tc>
        <w:tc>
          <w:tcPr>
            <w:tcW w:type="dxa" w:w="358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Inference, Dialogue, Execution, Validation, Reflection agents</w:t>
            </w:r>
          </w:p>
        </w:tc>
        <w:tc>
          <w:tcPr>
            <w:tcW w:type="dxa" w:w="358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The pedagogical brain — diagnose, guide, act, check, reflect.</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Agent Orchestration</w:t>
            </w:r>
          </w:p>
        </w:tc>
        <w:tc>
          <w:tcPr>
            <w:tcW w:type="dxa" w:w="358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Router, Memory store, Tool registry, Policy engine, Workflow runtime</w:t>
            </w:r>
          </w:p>
        </w:tc>
        <w:tc>
          <w:tcPr>
            <w:tcW w:type="dxa" w:w="358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Coordinates which agent runs when, with which tools, under which policies.</w:t>
            </w:r>
          </w:p>
        </w:tc>
      </w:tr>
      <w:tr>
        <w:tc>
          <w:tcPr>
            <w:tcW w:type="dxa" w:w="22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Integration</w:t>
            </w:r>
          </w:p>
        </w:tc>
        <w:tc>
          <w:tcPr>
            <w:tcW w:type="dxa" w:w="358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LMS connectors, SIS/CRM connectors, Library, Advising, External APIs (all via MCP)</w:t>
            </w:r>
          </w:p>
        </w:tc>
        <w:tc>
          <w:tcPr>
            <w:tcW w:type="dxa" w:w="358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Standards-based, auditable bridges to institutional systems.</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Foundation</w:t>
            </w:r>
          </w:p>
        </w:tc>
        <w:tc>
          <w:tcPr>
            <w:tcW w:type="dxa" w:w="358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Identity (SSO), Data plane (Postgres, vector, lake), Observability, Security/KMS</w:t>
            </w:r>
          </w:p>
        </w:tc>
        <w:tc>
          <w:tcPr>
            <w:tcW w:type="dxa" w:w="358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Cross-cutting platform services.</w:t>
            </w:r>
          </w:p>
        </w:tc>
      </w:tr>
    </w:tbl>
    <w:p>
      <w:pPr>
        <w:spacing w:after="120"/>
      </w:pPr>
      <w:r>
        <w:t xml:space="preserve"/>
      </w:r>
    </w:p>
    <w:p>
      <w:pPr>
        <w:pStyle w:val="Heading2"/>
      </w:pPr>
      <w:r>
        <w:t xml:space="preserve">4.2 The TwinAgent Concept</w:t>
      </w:r>
    </w:p>
    <w:p>
      <w:pPr>
        <w:spacing w:after="120"/>
      </w:pPr>
      <w:r>
        <w:t xml:space="preserve">TwinAgent is EduClaw's name for the cognitive core inside every learning interaction. It is not a single model call — it is a coordinated team of specialized agents (Inference, Dialogue, Execution, Validation, Reflection) operating across the Guided Learning Cycle: Notice → Diagnose → Ask → Act → Check → Reflect. The TwinAgent runtime is responsible for selecting which agents activate, in what order, and how they share state.</w:t>
      </w:r>
    </w:p>
    <w:p>
      <w:pPr>
        <w:pStyle w:val="Heading2"/>
      </w:pPr>
      <w:r>
        <w:t xml:space="preserve">4.3 Guided Learning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5800"/>
      </w:tblGrid>
      <w:tr>
        <w:trPr>
          <w:tblHeader/>
        </w:trPr>
        <w:tc>
          <w:tcPr>
            <w:tcW w:type="dxa" w:w="14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Stage</w:t>
            </w:r>
          </w:p>
        </w:tc>
        <w:tc>
          <w:tcPr>
            <w:tcW w:type="dxa" w:w="216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Driving Agent(s)</w:t>
            </w:r>
          </w:p>
        </w:tc>
        <w:tc>
          <w:tcPr>
            <w:tcW w:type="dxa" w:w="58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What Happens</w:t>
            </w:r>
          </w:p>
        </w:tc>
      </w:tr>
      <w:tr>
        <w:tc>
          <w:tcPr>
            <w:tcW w:type="dxa" w:w="1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Notice</w:t>
            </w:r>
          </w:p>
        </w:tc>
        <w:tc>
          <w:tcPr>
            <w:tcW w:type="dxa" w:w="21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Inference</w:t>
            </w:r>
          </w:p>
        </w:tc>
        <w:tc>
          <w:tcPr>
            <w:tcW w:type="dxa" w:w="5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Detect that a learner needs help; classify situation (confused, off-track, stuck, exploring).</w:t>
            </w:r>
          </w:p>
        </w:tc>
      </w:tr>
      <w:tr>
        <w:tc>
          <w:tcPr>
            <w:tcW w:type="dxa" w:w="14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Diagnose</w:t>
            </w:r>
          </w:p>
        </w:tc>
        <w:tc>
          <w:tcPr>
            <w:tcW w:type="dxa" w:w="21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Inference</w:t>
            </w:r>
          </w:p>
        </w:tc>
        <w:tc>
          <w:tcPr>
            <w:tcW w:type="dxa" w:w="58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Identify intent, knowledge gap, and likely next best step.</w:t>
            </w:r>
          </w:p>
        </w:tc>
      </w:tr>
      <w:tr>
        <w:tc>
          <w:tcPr>
            <w:tcW w:type="dxa" w:w="1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Ask</w:t>
            </w:r>
          </w:p>
        </w:tc>
        <w:tc>
          <w:tcPr>
            <w:tcW w:type="dxa" w:w="21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Dialogue</w:t>
            </w:r>
          </w:p>
        </w:tc>
        <w:tc>
          <w:tcPr>
            <w:tcW w:type="dxa" w:w="5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Help the student articulate the real question; clarify goals.</w:t>
            </w:r>
          </w:p>
        </w:tc>
      </w:tr>
      <w:tr>
        <w:tc>
          <w:tcPr>
            <w:tcW w:type="dxa" w:w="14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Act</w:t>
            </w:r>
          </w:p>
        </w:tc>
        <w:tc>
          <w:tcPr>
            <w:tcW w:type="dxa" w:w="21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Execution</w:t>
            </w:r>
          </w:p>
        </w:tc>
        <w:tc>
          <w:tcPr>
            <w:tcW w:type="dxa" w:w="58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Provide explanations, examples, study plans, retrievals, scaffolds.</w:t>
            </w:r>
          </w:p>
        </w:tc>
      </w:tr>
      <w:tr>
        <w:tc>
          <w:tcPr>
            <w:tcW w:type="dxa" w:w="1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Check</w:t>
            </w:r>
          </w:p>
        </w:tc>
        <w:tc>
          <w:tcPr>
            <w:tcW w:type="dxa" w:w="21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Validation</w:t>
            </w:r>
          </w:p>
        </w:tc>
        <w:tc>
          <w:tcPr>
            <w:tcW w:type="dxa" w:w="5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Verify reasoning, ensure boundaries, prevent over-assistance.</w:t>
            </w:r>
          </w:p>
        </w:tc>
      </w:tr>
      <w:tr>
        <w:tc>
          <w:tcPr>
            <w:tcW w:type="dxa" w:w="14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Reflect</w:t>
            </w:r>
          </w:p>
        </w:tc>
        <w:tc>
          <w:tcPr>
            <w:tcW w:type="dxa" w:w="21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Reflection</w:t>
            </w:r>
          </w:p>
        </w:tc>
        <w:tc>
          <w:tcPr>
            <w:tcW w:type="dxa" w:w="58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Prompt the student to summarize, transfer, and metacognize.</w:t>
            </w:r>
          </w:p>
        </w:tc>
      </w:tr>
    </w:tbl>
    <w:p>
      <w:pPr>
        <w:spacing w:after="120"/>
      </w:pPr>
      <w:r>
        <w:t xml:space="preserve"/>
      </w:r>
    </w:p>
    <w:p>
      <w:pPr>
        <w:pStyle w:val="Heading2"/>
      </w:pPr>
      <w:r>
        <w:t xml:space="preserve">4.4 High-Level Data Flow</w:t>
      </w:r>
    </w:p>
    <w:p>
      <w:pPr>
        <w:pStyle w:val="ListParagraph"/>
        <w:numPr>
          <w:ilvl w:val="0"/>
          <w:numId w:val="3"/>
        </w:numPr>
        <w:spacing w:after="60"/>
      </w:pPr>
      <w:r>
        <w:t xml:space="preserve">Student opens a learning surface (Web, LMS, Mobile, Chat) and is authenticated via SSO.</w:t>
      </w:r>
    </w:p>
    <w:p>
      <w:pPr>
        <w:pStyle w:val="ListParagraph"/>
        <w:numPr>
          <w:ilvl w:val="0"/>
          <w:numId w:val="3"/>
        </w:numPr>
        <w:spacing w:after="60"/>
      </w:pPr>
      <w:r>
        <w:t xml:space="preserve">The Surface posts the learner's input plus contextual signals (course, assignment, recent activity) to the TwinAgent runtime.</w:t>
      </w:r>
    </w:p>
    <w:p>
      <w:pPr>
        <w:pStyle w:val="ListParagraph"/>
        <w:numPr>
          <w:ilvl w:val="0"/>
          <w:numId w:val="3"/>
        </w:numPr>
        <w:spacing w:after="60"/>
      </w:pPr>
      <w:r>
        <w:t xml:space="preserve">The Router calls the Inference Agent first; the Inference Agent emits a structured diagnosis.</w:t>
      </w:r>
    </w:p>
    <w:p>
      <w:pPr>
        <w:pStyle w:val="ListParagraph"/>
        <w:numPr>
          <w:ilvl w:val="0"/>
          <w:numId w:val="3"/>
        </w:numPr>
        <w:spacing w:after="60"/>
      </w:pPr>
      <w:r>
        <w:t xml:space="preserve">Based on the diagnosis, the Router invokes Dialogue, Execution, Validation, and Reflection agents in the order best fitting the situation.</w:t>
      </w:r>
    </w:p>
    <w:p>
      <w:pPr>
        <w:pStyle w:val="ListParagraph"/>
        <w:numPr>
          <w:ilvl w:val="0"/>
          <w:numId w:val="3"/>
        </w:numPr>
        <w:spacing w:after="60"/>
      </w:pPr>
      <w:r>
        <w:t xml:space="preserve">Tool calls are routed through MCP servers to LMS, SIS, library, and other systems, with policy checks at every boundary.</w:t>
      </w:r>
    </w:p>
    <w:p>
      <w:pPr>
        <w:pStyle w:val="ListParagraph"/>
        <w:numPr>
          <w:ilvl w:val="0"/>
          <w:numId w:val="3"/>
        </w:numPr>
        <w:spacing w:after="60"/>
      </w:pPr>
      <w:r>
        <w:t xml:space="preserve">All steps are traced (Langfuse + OTel), evaluated against EduClaw evals, and persisted to the learner state store for personalization.</w:t>
      </w:r>
    </w:p>
    <w:p>
      <w:r>
        <w:br w:type="page"/>
      </w:r>
    </w:p>
    <w:p>
      <w:pPr>
        <w:pStyle w:val="Heading1"/>
      </w:pPr>
      <w:r>
        <w:t xml:space="preserve">5. Six Agent Design Patterns — Detailed Specifications</w:t>
      </w:r>
    </w:p>
    <w:p>
      <w:pPr>
        <w:spacing w:after="120"/>
      </w:pPr>
      <w:r>
        <w:t xml:space="preserve">Each EduClaw agent has a clear pedagogical job, a defined input/output contract, an allowed tool surface, model assignment, guardrails, and evaluation metrics. The specifications below are implementation-ready and map directly to runtime modules in the TwinAgent.</w:t>
      </w:r>
    </w:p>
    <w:p>
      <w:pPr>
        <w:pStyle w:val="Heading2"/>
      </w:pPr>
      <w:r>
        <w:t xml:space="preserve">5.1 Inference Agent — Diagnose Before Responding</w:t>
      </w:r>
    </w:p>
    <w:p>
      <w:pPr>
        <w:spacing w:after="120"/>
      </w:pPr>
      <w:r>
        <w:rPr>
          <w:b/>
          <w:bCs/>
        </w:rPr>
        <w:t xml:space="preserve">Purpose: </w:t>
      </w:r>
      <w:r>
        <w:t xml:space="preserve">Before any answer is produced, the Inference Agent classifies the learner's intent, level of confusion, and likely knowledge gap. This is the shift from 'answering questions' to 'understanding the learner'.</w:t>
      </w:r>
    </w:p>
    <w:p>
      <w:pPr>
        <w:spacing w:after="120"/>
      </w:pPr>
      <w:r>
        <w:rPr>
          <w:b/>
          <w:bCs/>
        </w:rPr>
        <w:t xml:space="preserve">Primary Model: </w:t>
      </w:r>
      <w:r>
        <w:t xml:space="preserve">Claude Haiku 4.5 (fast triage), with auto-escalation to Sonnet 4.6 on low-confidence diagnoses</w:t>
      </w:r>
    </w:p>
    <w:p>
      <w:pPr>
        <w:pStyle w:val="Heading3"/>
      </w:pPr>
      <w:r>
        <w:t xml:space="preserve">Inputs</w:t>
      </w:r>
    </w:p>
    <w:p>
      <w:pPr>
        <w:pStyle w:val="ListParagraph"/>
        <w:numPr>
          <w:ilvl w:val="0"/>
          <w:numId w:val="2"/>
        </w:numPr>
        <w:spacing w:after="60"/>
      </w:pPr>
      <w:r>
        <w:t xml:space="preserve">Raw learner input (text, voice transcript, screenshot)</w:t>
      </w:r>
    </w:p>
    <w:p>
      <w:pPr>
        <w:pStyle w:val="ListParagraph"/>
        <w:numPr>
          <w:ilvl w:val="0"/>
          <w:numId w:val="2"/>
        </w:numPr>
        <w:spacing w:after="60"/>
      </w:pPr>
      <w:r>
        <w:t xml:space="preserve">Context: course, module, recent activity, prior diagnoses</w:t>
      </w:r>
    </w:p>
    <w:p>
      <w:pPr>
        <w:pStyle w:val="ListParagraph"/>
        <w:numPr>
          <w:ilvl w:val="0"/>
          <w:numId w:val="2"/>
        </w:numPr>
        <w:spacing w:after="60"/>
      </w:pPr>
      <w:r>
        <w:t xml:space="preserve">Learner profile snapshot from the learner-state store</w:t>
      </w:r>
    </w:p>
    <w:p>
      <w:pPr>
        <w:pStyle w:val="Heading3"/>
      </w:pPr>
      <w:r>
        <w:t xml:space="preserve">Outputs</w:t>
      </w:r>
    </w:p>
    <w:p>
      <w:pPr>
        <w:pStyle w:val="ListParagraph"/>
        <w:numPr>
          <w:ilvl w:val="0"/>
          <w:numId w:val="2"/>
        </w:numPr>
        <w:spacing w:after="60"/>
      </w:pPr>
      <w:r>
        <w:t xml:space="preserve">Structured diagnosis JSON: { intent, confusion_level, knowledge_gap, urgency, recommended_next_agent }</w:t>
      </w:r>
    </w:p>
    <w:p>
      <w:pPr>
        <w:pStyle w:val="ListParagraph"/>
        <w:numPr>
          <w:ilvl w:val="0"/>
          <w:numId w:val="2"/>
        </w:numPr>
        <w:spacing w:after="60"/>
      </w:pPr>
      <w:r>
        <w:t xml:space="preserve">Confidence scores and rationale (for traceability)</w:t>
      </w:r>
    </w:p>
    <w:p>
      <w:pPr>
        <w:pStyle w:val="ListParagraph"/>
        <w:numPr>
          <w:ilvl w:val="0"/>
          <w:numId w:val="2"/>
        </w:numPr>
        <w:spacing w:after="60"/>
      </w:pPr>
      <w:r>
        <w:t xml:space="preserve">Recommended Guided Learning Cycle entry stage</w:t>
      </w:r>
    </w:p>
    <w:p>
      <w:pPr>
        <w:pStyle w:val="Heading3"/>
      </w:pPr>
      <w:r>
        <w:t xml:space="preserve">Tools / MCP</w:t>
      </w:r>
    </w:p>
    <w:p>
      <w:pPr>
        <w:pStyle w:val="ListParagraph"/>
        <w:numPr>
          <w:ilvl w:val="0"/>
          <w:numId w:val="2"/>
        </w:numPr>
        <w:spacing w:after="60"/>
      </w:pPr>
      <w:r>
        <w:t xml:space="preserve">course_context.get_module(course_id, module_id)</w:t>
      </w:r>
    </w:p>
    <w:p>
      <w:pPr>
        <w:pStyle w:val="ListParagraph"/>
        <w:numPr>
          <w:ilvl w:val="0"/>
          <w:numId w:val="2"/>
        </w:numPr>
        <w:spacing w:after="60"/>
      </w:pPr>
      <w:r>
        <w:t xml:space="preserve">learner_state.read(learner_id)</w:t>
      </w:r>
    </w:p>
    <w:p>
      <w:pPr>
        <w:pStyle w:val="ListParagraph"/>
        <w:numPr>
          <w:ilvl w:val="0"/>
          <w:numId w:val="2"/>
        </w:numPr>
        <w:spacing w:after="60"/>
      </w:pPr>
      <w:r>
        <w:t xml:space="preserve">rubric.lookup(outcome_id)</w:t>
      </w:r>
    </w:p>
    <w:p>
      <w:pPr>
        <w:pStyle w:val="Heading3"/>
      </w:pPr>
      <w:r>
        <w:t xml:space="preserve">Guardrails</w:t>
      </w:r>
    </w:p>
    <w:p>
      <w:pPr>
        <w:pStyle w:val="ListParagraph"/>
        <w:numPr>
          <w:ilvl w:val="0"/>
          <w:numId w:val="2"/>
        </w:numPr>
        <w:spacing w:after="60"/>
      </w:pPr>
      <w:r>
        <w:t xml:space="preserve">Must not produce direct answers — diagnosis only.</w:t>
      </w:r>
    </w:p>
    <w:p>
      <w:pPr>
        <w:pStyle w:val="ListParagraph"/>
        <w:numPr>
          <w:ilvl w:val="0"/>
          <w:numId w:val="2"/>
        </w:numPr>
        <w:spacing w:after="60"/>
      </w:pPr>
      <w:r>
        <w:t xml:space="preserve">Must avoid stereotyping based on demographics or prior performance.</w:t>
      </w:r>
    </w:p>
    <w:p>
      <w:pPr>
        <w:pStyle w:val="ListParagraph"/>
        <w:numPr>
          <w:ilvl w:val="0"/>
          <w:numId w:val="2"/>
        </w:numPr>
        <w:spacing w:after="60"/>
      </w:pPr>
      <w:r>
        <w:t xml:space="preserve">Hard FERPA boundary: only consume learner data the student has authorized.</w:t>
      </w:r>
    </w:p>
    <w:p>
      <w:pPr>
        <w:pStyle w:val="Heading3"/>
      </w:pPr>
      <w:r>
        <w:t xml:space="preserve">Eval Metrics</w:t>
      </w:r>
    </w:p>
    <w:p>
      <w:pPr>
        <w:pStyle w:val="ListParagraph"/>
        <w:numPr>
          <w:ilvl w:val="0"/>
          <w:numId w:val="2"/>
        </w:numPr>
        <w:spacing w:after="60"/>
      </w:pPr>
      <w:r>
        <w:t xml:space="preserve">Diagnosis accuracy vs. faculty-labeled gold set (target: 85%+)</w:t>
      </w:r>
    </w:p>
    <w:p>
      <w:pPr>
        <w:pStyle w:val="ListParagraph"/>
        <w:numPr>
          <w:ilvl w:val="0"/>
          <w:numId w:val="2"/>
        </w:numPr>
        <w:spacing w:after="60"/>
      </w:pPr>
      <w:r>
        <w:t xml:space="preserve">Calibration error of confidence vs. correctness</w:t>
      </w:r>
    </w:p>
    <w:p>
      <w:pPr>
        <w:pStyle w:val="ListParagraph"/>
        <w:numPr>
          <w:ilvl w:val="0"/>
          <w:numId w:val="2"/>
        </w:numPr>
        <w:spacing w:after="60"/>
      </w:pPr>
      <w:r>
        <w:t xml:space="preserve">Latency P50/P95</w:t>
      </w:r>
    </w:p>
    <w:p>
      <w:pPr>
        <w:spacing w:after="120"/>
      </w:pPr>
      <w:r>
        <w:t xml:space="preserve"/>
      </w:r>
    </w:p>
    <w:p>
      <w:pPr>
        <w:pStyle w:val="Heading2"/>
      </w:pPr>
      <w:r>
        <w:t xml:space="preserve">5.2 Dialogue Coach Agent — Help Students Form Better Questions</w:t>
      </w:r>
    </w:p>
    <w:p>
      <w:pPr>
        <w:spacing w:after="120"/>
      </w:pPr>
      <w:r>
        <w:rPr>
          <w:b/>
          <w:bCs/>
        </w:rPr>
        <w:t xml:space="preserve">Purpose: </w:t>
      </w:r>
      <w:r>
        <w:t xml:space="preserve">The Dialogue Agent transforms vague input into structured thinking. It clarifies goals, helps students articulate what they don't know, and turns 'I don't get this' into a usable question.</w:t>
      </w:r>
    </w:p>
    <w:p>
      <w:pPr>
        <w:spacing w:after="120"/>
      </w:pPr>
      <w:r>
        <w:rPr>
          <w:b/>
          <w:bCs/>
        </w:rPr>
        <w:t xml:space="preserve">Primary Model: </w:t>
      </w:r>
      <w:r>
        <w:t xml:space="preserve">Claude Sonnet 4.6</w:t>
      </w:r>
    </w:p>
    <w:p>
      <w:pPr>
        <w:pStyle w:val="Heading3"/>
      </w:pPr>
      <w:r>
        <w:t xml:space="preserve">Inputs</w:t>
      </w:r>
    </w:p>
    <w:p>
      <w:pPr>
        <w:pStyle w:val="ListParagraph"/>
        <w:numPr>
          <w:ilvl w:val="0"/>
          <w:numId w:val="2"/>
        </w:numPr>
        <w:spacing w:after="60"/>
      </w:pPr>
      <w:r>
        <w:t xml:space="preserve">Diagnosis from Inference Agent</w:t>
      </w:r>
    </w:p>
    <w:p>
      <w:pPr>
        <w:pStyle w:val="ListParagraph"/>
        <w:numPr>
          <w:ilvl w:val="0"/>
          <w:numId w:val="2"/>
        </w:numPr>
        <w:spacing w:after="60"/>
      </w:pPr>
      <w:r>
        <w:t xml:space="preserve">Conversation history</w:t>
      </w:r>
    </w:p>
    <w:p>
      <w:pPr>
        <w:pStyle w:val="ListParagraph"/>
        <w:numPr>
          <w:ilvl w:val="0"/>
          <w:numId w:val="2"/>
        </w:numPr>
        <w:spacing w:after="60"/>
      </w:pPr>
      <w:r>
        <w:t xml:space="preserve">Learning objectives for the active module</w:t>
      </w:r>
    </w:p>
    <w:p>
      <w:pPr>
        <w:pStyle w:val="Heading3"/>
      </w:pPr>
      <w:r>
        <w:t xml:space="preserve">Outputs</w:t>
      </w:r>
    </w:p>
    <w:p>
      <w:pPr>
        <w:pStyle w:val="ListParagraph"/>
        <w:numPr>
          <w:ilvl w:val="0"/>
          <w:numId w:val="2"/>
        </w:numPr>
        <w:spacing w:after="60"/>
      </w:pPr>
      <w:r>
        <w:t xml:space="preserve">Clarifying questions, prompts to articulate goals, structured next steps</w:t>
      </w:r>
    </w:p>
    <w:p>
      <w:pPr>
        <w:pStyle w:val="ListParagraph"/>
        <w:numPr>
          <w:ilvl w:val="0"/>
          <w:numId w:val="2"/>
        </w:numPr>
        <w:spacing w:after="60"/>
      </w:pPr>
      <w:r>
        <w:t xml:space="preserve">Optional: a refined version of the student's question for downstream agents</w:t>
      </w:r>
    </w:p>
    <w:p>
      <w:pPr>
        <w:pStyle w:val="Heading3"/>
      </w:pPr>
      <w:r>
        <w:t xml:space="preserve">Tools / MCP</w:t>
      </w:r>
    </w:p>
    <w:p>
      <w:pPr>
        <w:pStyle w:val="ListParagraph"/>
        <w:numPr>
          <w:ilvl w:val="0"/>
          <w:numId w:val="2"/>
        </w:numPr>
        <w:spacing w:after="60"/>
      </w:pPr>
      <w:r>
        <w:t xml:space="preserve">objectives.lookup(course_id, module_id)</w:t>
      </w:r>
    </w:p>
    <w:p>
      <w:pPr>
        <w:pStyle w:val="ListParagraph"/>
        <w:numPr>
          <w:ilvl w:val="0"/>
          <w:numId w:val="2"/>
        </w:numPr>
        <w:spacing w:after="60"/>
      </w:pPr>
      <w:r>
        <w:t xml:space="preserve">question_templates.get(domain)</w:t>
      </w:r>
    </w:p>
    <w:p>
      <w:pPr>
        <w:pStyle w:val="Heading3"/>
      </w:pPr>
      <w:r>
        <w:t xml:space="preserve">Guardrails</w:t>
      </w:r>
    </w:p>
    <w:p>
      <w:pPr>
        <w:pStyle w:val="ListParagraph"/>
        <w:numPr>
          <w:ilvl w:val="0"/>
          <w:numId w:val="2"/>
        </w:numPr>
        <w:spacing w:after="60"/>
      </w:pPr>
      <w:r>
        <w:t xml:space="preserve">Never lecture — must ask before telling.</w:t>
      </w:r>
    </w:p>
    <w:p>
      <w:pPr>
        <w:pStyle w:val="ListParagraph"/>
        <w:numPr>
          <w:ilvl w:val="0"/>
          <w:numId w:val="2"/>
        </w:numPr>
        <w:spacing w:after="60"/>
      </w:pPr>
      <w:r>
        <w:t xml:space="preserve">Limit number of consecutive questions to avoid frustration (configurable).</w:t>
      </w:r>
    </w:p>
    <w:p>
      <w:pPr>
        <w:pStyle w:val="ListParagraph"/>
        <w:numPr>
          <w:ilvl w:val="0"/>
          <w:numId w:val="2"/>
        </w:numPr>
        <w:spacing w:after="60"/>
      </w:pPr>
      <w:r>
        <w:t xml:space="preserve">Adapt to student's apparent affective state (frustration, confidence).</w:t>
      </w:r>
    </w:p>
    <w:p>
      <w:pPr>
        <w:pStyle w:val="Heading3"/>
      </w:pPr>
      <w:r>
        <w:t xml:space="preserve">Eval Metrics</w:t>
      </w:r>
    </w:p>
    <w:p>
      <w:pPr>
        <w:pStyle w:val="ListParagraph"/>
        <w:numPr>
          <w:ilvl w:val="0"/>
          <w:numId w:val="2"/>
        </w:numPr>
        <w:spacing w:after="60"/>
      </w:pPr>
      <w:r>
        <w:t xml:space="preserve">Question-quality lift: do students' subsequent questions become more specific?</w:t>
      </w:r>
    </w:p>
    <w:p>
      <w:pPr>
        <w:pStyle w:val="ListParagraph"/>
        <w:numPr>
          <w:ilvl w:val="0"/>
          <w:numId w:val="2"/>
        </w:numPr>
        <w:spacing w:after="60"/>
      </w:pPr>
      <w:r>
        <w:t xml:space="preserve">Time-to-clear-question</w:t>
      </w:r>
    </w:p>
    <w:p>
      <w:pPr>
        <w:pStyle w:val="ListParagraph"/>
        <w:numPr>
          <w:ilvl w:val="0"/>
          <w:numId w:val="2"/>
        </w:numPr>
        <w:spacing w:after="60"/>
      </w:pPr>
      <w:r>
        <w:t xml:space="preserve">Drop-off rate during dialogue</w:t>
      </w:r>
    </w:p>
    <w:p>
      <w:pPr>
        <w:spacing w:after="120"/>
      </w:pPr>
      <w:r>
        <w:t xml:space="preserve"/>
      </w:r>
    </w:p>
    <w:p>
      <w:pPr>
        <w:pStyle w:val="Heading2"/>
      </w:pPr>
      <w:r>
        <w:t xml:space="preserve">5.3 Execution Agent — Action-Oriented Learning Support</w:t>
      </w:r>
    </w:p>
    <w:p>
      <w:pPr>
        <w:spacing w:after="120"/>
      </w:pPr>
      <w:r>
        <w:rPr>
          <w:b/>
          <w:bCs/>
        </w:rPr>
        <w:t xml:space="preserve">Purpose: </w:t>
      </w:r>
      <w:r>
        <w:t xml:space="preserve">The Execution Agent provides explanations, examples, study plans, retrievals, and scaffolded task support. It moves the system from passive tutoring into active learning support, integrated with LMS and institutional tools.</w:t>
      </w:r>
    </w:p>
    <w:p>
      <w:pPr>
        <w:spacing w:after="120"/>
      </w:pPr>
      <w:r>
        <w:rPr>
          <w:b/>
          <w:bCs/>
        </w:rPr>
        <w:t xml:space="preserve">Primary Model: </w:t>
      </w:r>
      <w:r>
        <w:t xml:space="preserve">Claude Sonnet 4.6 (default), Opus 4.6 for complex multi-step planning</w:t>
      </w:r>
    </w:p>
    <w:p>
      <w:pPr>
        <w:pStyle w:val="Heading3"/>
      </w:pPr>
      <w:r>
        <w:t xml:space="preserve">Inputs</w:t>
      </w:r>
    </w:p>
    <w:p>
      <w:pPr>
        <w:pStyle w:val="ListParagraph"/>
        <w:numPr>
          <w:ilvl w:val="0"/>
          <w:numId w:val="2"/>
        </w:numPr>
        <w:spacing w:after="60"/>
      </w:pPr>
      <w:r>
        <w:t xml:space="preserve">Refined question from Dialogue Agent</w:t>
      </w:r>
    </w:p>
    <w:p>
      <w:pPr>
        <w:pStyle w:val="ListParagraph"/>
        <w:numPr>
          <w:ilvl w:val="0"/>
          <w:numId w:val="2"/>
        </w:numPr>
        <w:spacing w:after="60"/>
      </w:pPr>
      <w:r>
        <w:t xml:space="preserve">Course materials, OER, library resources</w:t>
      </w:r>
    </w:p>
    <w:p>
      <w:pPr>
        <w:pStyle w:val="ListParagraph"/>
        <w:numPr>
          <w:ilvl w:val="0"/>
          <w:numId w:val="2"/>
        </w:numPr>
        <w:spacing w:after="60"/>
      </w:pPr>
      <w:r>
        <w:t xml:space="preserve">Student progress and preferences</w:t>
      </w:r>
    </w:p>
    <w:p>
      <w:pPr>
        <w:pStyle w:val="Heading3"/>
      </w:pPr>
      <w:r>
        <w:t xml:space="preserve">Outputs</w:t>
      </w:r>
    </w:p>
    <w:p>
      <w:pPr>
        <w:pStyle w:val="ListParagraph"/>
        <w:numPr>
          <w:ilvl w:val="0"/>
          <w:numId w:val="2"/>
        </w:numPr>
        <w:spacing w:after="60"/>
      </w:pPr>
      <w:r>
        <w:t xml:space="preserve">Explanations with worked examples</w:t>
      </w:r>
    </w:p>
    <w:p>
      <w:pPr>
        <w:pStyle w:val="ListParagraph"/>
        <w:numPr>
          <w:ilvl w:val="0"/>
          <w:numId w:val="2"/>
        </w:numPr>
        <w:spacing w:after="60"/>
      </w:pPr>
      <w:r>
        <w:t xml:space="preserve">Study plans, practice problems, scaffolds</w:t>
      </w:r>
    </w:p>
    <w:p>
      <w:pPr>
        <w:pStyle w:val="ListParagraph"/>
        <w:numPr>
          <w:ilvl w:val="0"/>
          <w:numId w:val="2"/>
        </w:numPr>
        <w:spacing w:after="60"/>
      </w:pPr>
      <w:r>
        <w:t xml:space="preserve">Action-taking: open assignment, schedule study session, file advising request</w:t>
      </w:r>
    </w:p>
    <w:p>
      <w:pPr>
        <w:pStyle w:val="Heading3"/>
      </w:pPr>
      <w:r>
        <w:t xml:space="preserve">Tools / MCP</w:t>
      </w:r>
    </w:p>
    <w:p>
      <w:pPr>
        <w:pStyle w:val="ListParagraph"/>
        <w:numPr>
          <w:ilvl w:val="0"/>
          <w:numId w:val="2"/>
        </w:numPr>
        <w:spacing w:after="60"/>
      </w:pPr>
      <w:r>
        <w:t xml:space="preserve">lms.get_assignment, lms.list_resources, lms.create_event</w:t>
      </w:r>
    </w:p>
    <w:p>
      <w:pPr>
        <w:pStyle w:val="ListParagraph"/>
        <w:numPr>
          <w:ilvl w:val="0"/>
          <w:numId w:val="2"/>
        </w:numPr>
        <w:spacing w:after="60"/>
      </w:pPr>
      <w:r>
        <w:t xml:space="preserve">library.search, library.fetch_excerpt</w:t>
      </w:r>
    </w:p>
    <w:p>
      <w:pPr>
        <w:pStyle w:val="ListParagraph"/>
        <w:numPr>
          <w:ilvl w:val="0"/>
          <w:numId w:val="2"/>
        </w:numPr>
        <w:spacing w:after="60"/>
      </w:pPr>
      <w:r>
        <w:t xml:space="preserve">knowledge.search(course_id, query)</w:t>
      </w:r>
    </w:p>
    <w:p>
      <w:pPr>
        <w:pStyle w:val="ListParagraph"/>
        <w:numPr>
          <w:ilvl w:val="0"/>
          <w:numId w:val="2"/>
        </w:numPr>
        <w:spacing w:after="60"/>
      </w:pPr>
      <w:r>
        <w:t xml:space="preserve">scheduler.create(student_id, plan)</w:t>
      </w:r>
    </w:p>
    <w:p>
      <w:pPr>
        <w:pStyle w:val="Heading3"/>
      </w:pPr>
      <w:r>
        <w:t xml:space="preserve">Guardrails</w:t>
      </w:r>
    </w:p>
    <w:p>
      <w:pPr>
        <w:pStyle w:val="ListParagraph"/>
        <w:numPr>
          <w:ilvl w:val="0"/>
          <w:numId w:val="2"/>
        </w:numPr>
        <w:spacing w:after="60"/>
      </w:pPr>
      <w:r>
        <w:t xml:space="preserve">Cite sources from course materials whenever used.</w:t>
      </w:r>
    </w:p>
    <w:p>
      <w:pPr>
        <w:pStyle w:val="ListParagraph"/>
        <w:numPr>
          <w:ilvl w:val="0"/>
          <w:numId w:val="2"/>
        </w:numPr>
        <w:spacing w:after="60"/>
      </w:pPr>
      <w:r>
        <w:t xml:space="preserve">Refuse to produce graded assignment content directly; offer scaffolds, examples, and worked analogs instead.</w:t>
      </w:r>
    </w:p>
    <w:p>
      <w:pPr>
        <w:pStyle w:val="ListParagraph"/>
        <w:numPr>
          <w:ilvl w:val="0"/>
          <w:numId w:val="2"/>
        </w:numPr>
        <w:spacing w:after="60"/>
      </w:pPr>
      <w:r>
        <w:t xml:space="preserve">All institutional actions require explicit student confirmation.</w:t>
      </w:r>
    </w:p>
    <w:p>
      <w:pPr>
        <w:pStyle w:val="Heading3"/>
      </w:pPr>
      <w:r>
        <w:t xml:space="preserve">Eval Metrics</w:t>
      </w:r>
    </w:p>
    <w:p>
      <w:pPr>
        <w:pStyle w:val="ListParagraph"/>
        <w:numPr>
          <w:ilvl w:val="0"/>
          <w:numId w:val="2"/>
        </w:numPr>
        <w:spacing w:after="60"/>
      </w:pPr>
      <w:r>
        <w:t xml:space="preserve">Helpfulness rating from students and faculty reviewers</w:t>
      </w:r>
    </w:p>
    <w:p>
      <w:pPr>
        <w:pStyle w:val="ListParagraph"/>
        <w:numPr>
          <w:ilvl w:val="0"/>
          <w:numId w:val="2"/>
        </w:numPr>
        <w:spacing w:after="60"/>
      </w:pPr>
      <w:r>
        <w:t xml:space="preserve">Source-citation rate</w:t>
      </w:r>
    </w:p>
    <w:p>
      <w:pPr>
        <w:pStyle w:val="ListParagraph"/>
        <w:numPr>
          <w:ilvl w:val="0"/>
          <w:numId w:val="2"/>
        </w:numPr>
        <w:spacing w:after="60"/>
      </w:pPr>
      <w:r>
        <w:t xml:space="preserve">Tool-call success rate and idempotency</w:t>
      </w:r>
    </w:p>
    <w:p>
      <w:pPr>
        <w:spacing w:after="120"/>
      </w:pPr>
      <w:r>
        <w:t xml:space="preserve"/>
      </w:r>
    </w:p>
    <w:p>
      <w:pPr>
        <w:pStyle w:val="Heading2"/>
      </w:pPr>
      <w:r>
        <w:t xml:space="preserve">5.4 Validation &amp; Boundary Agent — The Pedagogical Conscience</w:t>
      </w:r>
    </w:p>
    <w:p>
      <w:pPr>
        <w:spacing w:after="120"/>
      </w:pPr>
      <w:r>
        <w:rPr>
          <w:b/>
          <w:bCs/>
        </w:rPr>
        <w:t xml:space="preserve">Purpose: </w:t>
      </w:r>
      <w:r>
        <w:t xml:space="preserve">The Validation Agent checks reasoning, accuracy, and alignment with learning goals; it prevents over-assistance and protects academic integrity. This is what separates EduClaw from a generic chatbot.</w:t>
      </w:r>
    </w:p>
    <w:p>
      <w:pPr>
        <w:spacing w:after="120"/>
      </w:pPr>
      <w:r>
        <w:rPr>
          <w:b/>
          <w:bCs/>
        </w:rPr>
        <w:t xml:space="preserve">Primary Model: </w:t>
      </w:r>
      <w:r>
        <w:t xml:space="preserve">Claude Opus 4.6 (highest reasoning quality)</w:t>
      </w:r>
    </w:p>
    <w:p>
      <w:pPr>
        <w:pStyle w:val="Heading3"/>
      </w:pPr>
      <w:r>
        <w:t xml:space="preserve">Inputs</w:t>
      </w:r>
    </w:p>
    <w:p>
      <w:pPr>
        <w:pStyle w:val="ListParagraph"/>
        <w:numPr>
          <w:ilvl w:val="0"/>
          <w:numId w:val="2"/>
        </w:numPr>
        <w:spacing w:after="60"/>
      </w:pPr>
      <w:r>
        <w:t xml:space="preserve">Draft response from Execution Agent</w:t>
      </w:r>
    </w:p>
    <w:p>
      <w:pPr>
        <w:pStyle w:val="ListParagraph"/>
        <w:numPr>
          <w:ilvl w:val="0"/>
          <w:numId w:val="2"/>
        </w:numPr>
        <w:spacing w:after="60"/>
      </w:pPr>
      <w:r>
        <w:t xml:space="preserve">Active assignment policy and academic integrity rules</w:t>
      </w:r>
    </w:p>
    <w:p>
      <w:pPr>
        <w:pStyle w:val="ListParagraph"/>
        <w:numPr>
          <w:ilvl w:val="0"/>
          <w:numId w:val="2"/>
        </w:numPr>
        <w:spacing w:after="60"/>
      </w:pPr>
      <w:r>
        <w:t xml:space="preserve">Course outcomes and rubric</w:t>
      </w:r>
    </w:p>
    <w:p>
      <w:pPr>
        <w:pStyle w:val="Heading3"/>
      </w:pPr>
      <w:r>
        <w:t xml:space="preserve">Outputs</w:t>
      </w:r>
    </w:p>
    <w:p>
      <w:pPr>
        <w:pStyle w:val="ListParagraph"/>
        <w:numPr>
          <w:ilvl w:val="0"/>
          <w:numId w:val="2"/>
        </w:numPr>
        <w:spacing w:after="60"/>
      </w:pPr>
      <w:r>
        <w:t xml:space="preserve">Approved | Modified | Blocked verdict with rationale</w:t>
      </w:r>
    </w:p>
    <w:p>
      <w:pPr>
        <w:pStyle w:val="ListParagraph"/>
        <w:numPr>
          <w:ilvl w:val="0"/>
          <w:numId w:val="2"/>
        </w:numPr>
        <w:spacing w:after="60"/>
      </w:pPr>
      <w:r>
        <w:t xml:space="preserve">Suggested edits (e.g., convert direct answer to scaffold)</w:t>
      </w:r>
    </w:p>
    <w:p>
      <w:pPr>
        <w:pStyle w:val="ListParagraph"/>
        <w:numPr>
          <w:ilvl w:val="0"/>
          <w:numId w:val="2"/>
        </w:numPr>
        <w:spacing w:after="60"/>
      </w:pPr>
      <w:r>
        <w:t xml:space="preserve">Audit record for academic integrity review</w:t>
      </w:r>
    </w:p>
    <w:p>
      <w:pPr>
        <w:pStyle w:val="Heading3"/>
      </w:pPr>
      <w:r>
        <w:t xml:space="preserve">Tools / MCP</w:t>
      </w:r>
    </w:p>
    <w:p>
      <w:pPr>
        <w:pStyle w:val="ListParagraph"/>
        <w:numPr>
          <w:ilvl w:val="0"/>
          <w:numId w:val="2"/>
        </w:numPr>
        <w:spacing w:after="60"/>
      </w:pPr>
      <w:r>
        <w:t xml:space="preserve">policy.lookup(course_id, assignment_id)</w:t>
      </w:r>
    </w:p>
    <w:p>
      <w:pPr>
        <w:pStyle w:val="ListParagraph"/>
        <w:numPr>
          <w:ilvl w:val="0"/>
          <w:numId w:val="2"/>
        </w:numPr>
        <w:spacing w:after="60"/>
      </w:pPr>
      <w:r>
        <w:t xml:space="preserve">fact_check.verify(claim, sources)</w:t>
      </w:r>
    </w:p>
    <w:p>
      <w:pPr>
        <w:pStyle w:val="ListParagraph"/>
        <w:numPr>
          <w:ilvl w:val="0"/>
          <w:numId w:val="2"/>
        </w:numPr>
        <w:spacing w:after="60"/>
      </w:pPr>
      <w:r>
        <w:t xml:space="preserve">integrity.check(response, assignment)</w:t>
      </w:r>
    </w:p>
    <w:p>
      <w:pPr>
        <w:pStyle w:val="Heading3"/>
      </w:pPr>
      <w:r>
        <w:t xml:space="preserve">Guardrails</w:t>
      </w:r>
    </w:p>
    <w:p>
      <w:pPr>
        <w:pStyle w:val="ListParagraph"/>
        <w:numPr>
          <w:ilvl w:val="0"/>
          <w:numId w:val="2"/>
        </w:numPr>
        <w:spacing w:after="60"/>
      </w:pPr>
      <w:r>
        <w:t xml:space="preserve">Default to caution: when in doubt, modify rather than block.</w:t>
      </w:r>
    </w:p>
    <w:p>
      <w:pPr>
        <w:pStyle w:val="ListParagraph"/>
        <w:numPr>
          <w:ilvl w:val="0"/>
          <w:numId w:val="2"/>
        </w:numPr>
        <w:spacing w:after="60"/>
      </w:pPr>
      <w:r>
        <w:t xml:space="preserve">Always log reasoning for faculty review.</w:t>
      </w:r>
    </w:p>
    <w:p>
      <w:pPr>
        <w:pStyle w:val="ListParagraph"/>
        <w:numPr>
          <w:ilvl w:val="0"/>
          <w:numId w:val="2"/>
        </w:numPr>
        <w:spacing w:after="60"/>
      </w:pPr>
      <w:r>
        <w:t xml:space="preserve">Block must be explainable to the student in pedagogical terms, not as 'the AI said no'.</w:t>
      </w:r>
    </w:p>
    <w:p>
      <w:pPr>
        <w:pStyle w:val="Heading3"/>
      </w:pPr>
      <w:r>
        <w:t xml:space="preserve">Eval Metrics</w:t>
      </w:r>
    </w:p>
    <w:p>
      <w:pPr>
        <w:pStyle w:val="ListParagraph"/>
        <w:numPr>
          <w:ilvl w:val="0"/>
          <w:numId w:val="2"/>
        </w:numPr>
        <w:spacing w:after="60"/>
      </w:pPr>
      <w:r>
        <w:t xml:space="preserve">False-block rate (must be low — over-blocking erodes trust)</w:t>
      </w:r>
    </w:p>
    <w:p>
      <w:pPr>
        <w:pStyle w:val="ListParagraph"/>
        <w:numPr>
          <w:ilvl w:val="0"/>
          <w:numId w:val="2"/>
        </w:numPr>
        <w:spacing w:after="60"/>
      </w:pPr>
      <w:r>
        <w:t xml:space="preserve">Catch rate on integrity-violating responses (gold set)</w:t>
      </w:r>
    </w:p>
    <w:p>
      <w:pPr>
        <w:pStyle w:val="ListParagraph"/>
        <w:numPr>
          <w:ilvl w:val="0"/>
          <w:numId w:val="2"/>
        </w:numPr>
        <w:spacing w:after="60"/>
      </w:pPr>
      <w:r>
        <w:t xml:space="preserve">Faculty agreement rate with Validation decisions</w:t>
      </w:r>
    </w:p>
    <w:p>
      <w:pPr>
        <w:spacing w:after="120"/>
      </w:pPr>
      <w:r>
        <w:t xml:space="preserve"/>
      </w:r>
    </w:p>
    <w:p>
      <w:pPr>
        <w:pStyle w:val="Heading2"/>
      </w:pPr>
      <w:r>
        <w:t xml:space="preserve">5.5 Reflection Agent — Build Metacognition and Transfer</w:t>
      </w:r>
    </w:p>
    <w:p>
      <w:pPr>
        <w:spacing w:after="120"/>
      </w:pPr>
      <w:r>
        <w:rPr>
          <w:b/>
          <w:bCs/>
        </w:rPr>
        <w:t xml:space="preserve">Purpose: </w:t>
      </w:r>
      <w:r>
        <w:t xml:space="preserve">The Reflection Agent prompts students to explain, summarize, and transfer knowledge. It turns assistance into actual learning by closing the cycle with metacognitive prompts.</w:t>
      </w:r>
    </w:p>
    <w:p>
      <w:pPr>
        <w:spacing w:after="120"/>
      </w:pPr>
      <w:r>
        <w:rPr>
          <w:b/>
          <w:bCs/>
        </w:rPr>
        <w:t xml:space="preserve">Primary Model: </w:t>
      </w:r>
      <w:r>
        <w:t xml:space="preserve">Claude Sonnet 4.6</w:t>
      </w:r>
    </w:p>
    <w:p>
      <w:pPr>
        <w:pStyle w:val="Heading3"/>
      </w:pPr>
      <w:r>
        <w:t xml:space="preserve">Inputs</w:t>
      </w:r>
    </w:p>
    <w:p>
      <w:pPr>
        <w:pStyle w:val="ListParagraph"/>
        <w:numPr>
          <w:ilvl w:val="0"/>
          <w:numId w:val="2"/>
        </w:numPr>
        <w:spacing w:after="60"/>
      </w:pPr>
      <w:r>
        <w:t xml:space="preserve">Recently completed interaction</w:t>
      </w:r>
    </w:p>
    <w:p>
      <w:pPr>
        <w:pStyle w:val="ListParagraph"/>
        <w:numPr>
          <w:ilvl w:val="0"/>
          <w:numId w:val="2"/>
        </w:numPr>
        <w:spacing w:after="60"/>
      </w:pPr>
      <w:r>
        <w:t xml:space="preserve">Stated and inferred learning objectives</w:t>
      </w:r>
    </w:p>
    <w:p>
      <w:pPr>
        <w:pStyle w:val="ListParagraph"/>
        <w:numPr>
          <w:ilvl w:val="0"/>
          <w:numId w:val="2"/>
        </w:numPr>
        <w:spacing w:after="60"/>
      </w:pPr>
      <w:r>
        <w:t xml:space="preserve">Learner's history of reflections</w:t>
      </w:r>
    </w:p>
    <w:p>
      <w:pPr>
        <w:pStyle w:val="Heading3"/>
      </w:pPr>
      <w:r>
        <w:t xml:space="preserve">Outputs</w:t>
      </w:r>
    </w:p>
    <w:p>
      <w:pPr>
        <w:pStyle w:val="ListParagraph"/>
        <w:numPr>
          <w:ilvl w:val="0"/>
          <w:numId w:val="2"/>
        </w:numPr>
        <w:spacing w:after="60"/>
      </w:pPr>
      <w:r>
        <w:t xml:space="preserve">Tailored reflection prompts (explain back, apply to a new context, predict)</w:t>
      </w:r>
    </w:p>
    <w:p>
      <w:pPr>
        <w:pStyle w:val="ListParagraph"/>
        <w:numPr>
          <w:ilvl w:val="0"/>
          <w:numId w:val="2"/>
        </w:numPr>
        <w:spacing w:after="60"/>
      </w:pPr>
      <w:r>
        <w:t xml:space="preserve">Updates to the learner state model with evidence of understanding</w:t>
      </w:r>
    </w:p>
    <w:p>
      <w:pPr>
        <w:pStyle w:val="ListParagraph"/>
        <w:numPr>
          <w:ilvl w:val="0"/>
          <w:numId w:val="2"/>
        </w:numPr>
        <w:spacing w:after="60"/>
      </w:pPr>
      <w:r>
        <w:t xml:space="preserve">Optional: short journal entry stored to learner portfolio</w:t>
      </w:r>
    </w:p>
    <w:p>
      <w:pPr>
        <w:pStyle w:val="Heading3"/>
      </w:pPr>
      <w:r>
        <w:t xml:space="preserve">Tools / MCP</w:t>
      </w:r>
    </w:p>
    <w:p>
      <w:pPr>
        <w:pStyle w:val="ListParagraph"/>
        <w:numPr>
          <w:ilvl w:val="0"/>
          <w:numId w:val="2"/>
        </w:numPr>
        <w:spacing w:after="60"/>
      </w:pPr>
      <w:r>
        <w:t xml:space="preserve">learner_state.update</w:t>
      </w:r>
    </w:p>
    <w:p>
      <w:pPr>
        <w:pStyle w:val="ListParagraph"/>
        <w:numPr>
          <w:ilvl w:val="0"/>
          <w:numId w:val="2"/>
        </w:numPr>
        <w:spacing w:after="60"/>
      </w:pPr>
      <w:r>
        <w:t xml:space="preserve">portfolio.append</w:t>
      </w:r>
    </w:p>
    <w:p>
      <w:pPr>
        <w:pStyle w:val="ListParagraph"/>
        <w:numPr>
          <w:ilvl w:val="0"/>
          <w:numId w:val="2"/>
        </w:numPr>
        <w:spacing w:after="60"/>
      </w:pPr>
      <w:r>
        <w:t xml:space="preserve">objectives.match(reflection)</w:t>
      </w:r>
    </w:p>
    <w:p>
      <w:pPr>
        <w:pStyle w:val="Heading3"/>
      </w:pPr>
      <w:r>
        <w:t xml:space="preserve">Guardrails</w:t>
      </w:r>
    </w:p>
    <w:p>
      <w:pPr>
        <w:pStyle w:val="ListParagraph"/>
        <w:numPr>
          <w:ilvl w:val="0"/>
          <w:numId w:val="2"/>
        </w:numPr>
        <w:spacing w:after="60"/>
      </w:pPr>
      <w:r>
        <w:t xml:space="preserve">Reflection prompts must be optional — never gate access behind them.</w:t>
      </w:r>
    </w:p>
    <w:p>
      <w:pPr>
        <w:pStyle w:val="ListParagraph"/>
        <w:numPr>
          <w:ilvl w:val="0"/>
          <w:numId w:val="2"/>
        </w:numPr>
        <w:spacing w:after="60"/>
      </w:pPr>
      <w:r>
        <w:t xml:space="preserve">Avoid hollow prompts (no 'how did that make you feel?' on a calculus problem).</w:t>
      </w:r>
    </w:p>
    <w:p>
      <w:pPr>
        <w:pStyle w:val="ListParagraph"/>
        <w:numPr>
          <w:ilvl w:val="0"/>
          <w:numId w:val="2"/>
        </w:numPr>
        <w:spacing w:after="60"/>
      </w:pPr>
      <w:r>
        <w:t xml:space="preserve">Adapt depth to the learner's apparent capacity that day.</w:t>
      </w:r>
    </w:p>
    <w:p>
      <w:pPr>
        <w:pStyle w:val="Heading3"/>
      </w:pPr>
      <w:r>
        <w:t xml:space="preserve">Eval Metrics</w:t>
      </w:r>
    </w:p>
    <w:p>
      <w:pPr>
        <w:pStyle w:val="ListParagraph"/>
        <w:numPr>
          <w:ilvl w:val="0"/>
          <w:numId w:val="2"/>
        </w:numPr>
        <w:spacing w:after="60"/>
      </w:pPr>
      <w:r>
        <w:t xml:space="preserve">Reflection completion rate</w:t>
      </w:r>
    </w:p>
    <w:p>
      <w:pPr>
        <w:pStyle w:val="ListParagraph"/>
        <w:numPr>
          <w:ilvl w:val="0"/>
          <w:numId w:val="2"/>
        </w:numPr>
        <w:spacing w:after="60"/>
      </w:pPr>
      <w:r>
        <w:t xml:space="preserve">Quality of reflection (rubric-scored sample)</w:t>
      </w:r>
    </w:p>
    <w:p>
      <w:pPr>
        <w:pStyle w:val="ListParagraph"/>
        <w:numPr>
          <w:ilvl w:val="0"/>
          <w:numId w:val="2"/>
        </w:numPr>
        <w:spacing w:after="60"/>
      </w:pPr>
      <w:r>
        <w:t xml:space="preserve">Downstream improvement on related items (transfer measure)</w:t>
      </w:r>
    </w:p>
    <w:p>
      <w:pPr>
        <w:spacing w:after="120"/>
      </w:pPr>
      <w:r>
        <w:t xml:space="preserve"/>
      </w:r>
    </w:p>
    <w:p>
      <w:pPr>
        <w:pStyle w:val="Heading2"/>
      </w:pPr>
      <w:r>
        <w:t xml:space="preserve">5.6 Multi-Agent Orchestration — Separating Thinking from Doing</w:t>
      </w:r>
    </w:p>
    <w:p>
      <w:pPr>
        <w:spacing w:after="120"/>
      </w:pPr>
      <w:r>
        <w:rPr>
          <w:b/>
          <w:bCs/>
        </w:rPr>
        <w:t xml:space="preserve">Purpose: </w:t>
      </w:r>
      <w:r>
        <w:t xml:space="preserve">The Orchestrator coordinates the specialized agents into a coherent Guided Learning Cycle. It handles routing, memory, tool access, policies, and workflows. This is where 'thinking' (Inference, Validation, Reflection) is deliberately separated from 'doing' (Dialogue, Execution).</w:t>
      </w:r>
    </w:p>
    <w:p>
      <w:pPr>
        <w:spacing w:after="120"/>
      </w:pPr>
      <w:r>
        <w:rPr>
          <w:b/>
          <w:bCs/>
        </w:rPr>
        <w:t xml:space="preserve">Primary Model: </w:t>
      </w:r>
      <w:r>
        <w:t xml:space="preserve">Hybrid: Claude Agent SDK delegation + LangGraph for deterministic workflows (escalation, integrity reviews)</w:t>
      </w:r>
    </w:p>
    <w:p>
      <w:pPr>
        <w:pStyle w:val="Heading3"/>
      </w:pPr>
      <w:r>
        <w:t xml:space="preserve">Inputs</w:t>
      </w:r>
    </w:p>
    <w:p>
      <w:pPr>
        <w:pStyle w:val="ListParagraph"/>
        <w:numPr>
          <w:ilvl w:val="0"/>
          <w:numId w:val="2"/>
        </w:numPr>
        <w:spacing w:after="60"/>
      </w:pPr>
      <w:r>
        <w:t xml:space="preserve">All agent outputs</w:t>
      </w:r>
    </w:p>
    <w:p>
      <w:pPr>
        <w:pStyle w:val="ListParagraph"/>
        <w:numPr>
          <w:ilvl w:val="0"/>
          <w:numId w:val="2"/>
        </w:numPr>
        <w:spacing w:after="60"/>
      </w:pPr>
      <w:r>
        <w:t xml:space="preserve">Surface context (which app, which user role)</w:t>
      </w:r>
    </w:p>
    <w:p>
      <w:pPr>
        <w:pStyle w:val="ListParagraph"/>
        <w:numPr>
          <w:ilvl w:val="0"/>
          <w:numId w:val="2"/>
        </w:numPr>
        <w:spacing w:after="60"/>
      </w:pPr>
      <w:r>
        <w:t xml:space="preserve">Institutional policy bundle</w:t>
      </w:r>
    </w:p>
    <w:p>
      <w:pPr>
        <w:pStyle w:val="Heading3"/>
      </w:pPr>
      <w:r>
        <w:t xml:space="preserve">Outputs</w:t>
      </w:r>
    </w:p>
    <w:p>
      <w:pPr>
        <w:pStyle w:val="ListParagraph"/>
        <w:numPr>
          <w:ilvl w:val="0"/>
          <w:numId w:val="2"/>
        </w:numPr>
        <w:spacing w:after="60"/>
      </w:pPr>
      <w:r>
        <w:t xml:space="preserve">Final composed response to the surface</w:t>
      </w:r>
    </w:p>
    <w:p>
      <w:pPr>
        <w:pStyle w:val="ListParagraph"/>
        <w:numPr>
          <w:ilvl w:val="0"/>
          <w:numId w:val="2"/>
        </w:numPr>
        <w:spacing w:after="60"/>
      </w:pPr>
      <w:r>
        <w:t xml:space="preserve">Side-effects: tool calls, state updates, audit logs</w:t>
      </w:r>
    </w:p>
    <w:p>
      <w:pPr>
        <w:pStyle w:val="ListParagraph"/>
        <w:numPr>
          <w:ilvl w:val="0"/>
          <w:numId w:val="2"/>
        </w:numPr>
        <w:spacing w:after="60"/>
      </w:pPr>
      <w:r>
        <w:t xml:space="preserve">Telemetry for evaluation and improvement</w:t>
      </w:r>
    </w:p>
    <w:p>
      <w:pPr>
        <w:pStyle w:val="Heading3"/>
      </w:pPr>
      <w:r>
        <w:t xml:space="preserve">Tools / MCP</w:t>
      </w:r>
    </w:p>
    <w:p>
      <w:pPr>
        <w:pStyle w:val="ListParagraph"/>
        <w:numPr>
          <w:ilvl w:val="0"/>
          <w:numId w:val="2"/>
        </w:numPr>
        <w:spacing w:after="60"/>
      </w:pPr>
      <w:r>
        <w:t xml:space="preserve">router.select_next_agent(state)</w:t>
      </w:r>
    </w:p>
    <w:p>
      <w:pPr>
        <w:pStyle w:val="ListParagraph"/>
        <w:numPr>
          <w:ilvl w:val="0"/>
          <w:numId w:val="2"/>
        </w:numPr>
        <w:spacing w:after="60"/>
      </w:pPr>
      <w:r>
        <w:t xml:space="preserve">memory.read/write (short-term, episodic, semantic)</w:t>
      </w:r>
    </w:p>
    <w:p>
      <w:pPr>
        <w:pStyle w:val="ListParagraph"/>
        <w:numPr>
          <w:ilvl w:val="0"/>
          <w:numId w:val="2"/>
        </w:numPr>
        <w:spacing w:after="60"/>
      </w:pPr>
      <w:r>
        <w:t xml:space="preserve">policy_engine.evaluate(action, context)</w:t>
      </w:r>
    </w:p>
    <w:p>
      <w:pPr>
        <w:pStyle w:val="ListParagraph"/>
        <w:numPr>
          <w:ilvl w:val="0"/>
          <w:numId w:val="2"/>
        </w:numPr>
        <w:spacing w:after="60"/>
      </w:pPr>
      <w:r>
        <w:t xml:space="preserve">workflow.execute(name, inputs)</w:t>
      </w:r>
    </w:p>
    <w:p>
      <w:pPr>
        <w:pStyle w:val="Heading3"/>
      </w:pPr>
      <w:r>
        <w:t xml:space="preserve">Guardrails</w:t>
      </w:r>
    </w:p>
    <w:p>
      <w:pPr>
        <w:pStyle w:val="ListParagraph"/>
        <w:numPr>
          <w:ilvl w:val="0"/>
          <w:numId w:val="2"/>
        </w:numPr>
        <w:spacing w:after="60"/>
      </w:pPr>
      <w:r>
        <w:t xml:space="preserve">Bounded loop depth — maximum agent hops per request to prevent runaways.</w:t>
      </w:r>
    </w:p>
    <w:p>
      <w:pPr>
        <w:pStyle w:val="ListParagraph"/>
        <w:numPr>
          <w:ilvl w:val="0"/>
          <w:numId w:val="2"/>
        </w:numPr>
        <w:spacing w:after="60"/>
      </w:pPr>
      <w:r>
        <w:t xml:space="preserve">All tool calls policy-checked; no agent has implicit privileges.</w:t>
      </w:r>
    </w:p>
    <w:p>
      <w:pPr>
        <w:pStyle w:val="ListParagraph"/>
        <w:numPr>
          <w:ilvl w:val="0"/>
          <w:numId w:val="2"/>
        </w:numPr>
        <w:spacing w:after="60"/>
      </w:pPr>
      <w:r>
        <w:t xml:space="preserve">Every decision recorded for audit and continuous improvement.</w:t>
      </w:r>
    </w:p>
    <w:p>
      <w:pPr>
        <w:pStyle w:val="Heading3"/>
      </w:pPr>
      <w:r>
        <w:t xml:space="preserve">Eval Metrics</w:t>
      </w:r>
    </w:p>
    <w:p>
      <w:pPr>
        <w:pStyle w:val="ListParagraph"/>
        <w:numPr>
          <w:ilvl w:val="0"/>
          <w:numId w:val="2"/>
        </w:numPr>
        <w:spacing w:after="60"/>
      </w:pPr>
      <w:r>
        <w:t xml:space="preserve">End-to-end task success rate</w:t>
      </w:r>
    </w:p>
    <w:p>
      <w:pPr>
        <w:pStyle w:val="ListParagraph"/>
        <w:numPr>
          <w:ilvl w:val="0"/>
          <w:numId w:val="2"/>
        </w:numPr>
        <w:spacing w:after="60"/>
      </w:pPr>
      <w:r>
        <w:t xml:space="preserve">Average hops to completion (efficiency)</w:t>
      </w:r>
    </w:p>
    <w:p>
      <w:pPr>
        <w:pStyle w:val="ListParagraph"/>
        <w:numPr>
          <w:ilvl w:val="0"/>
          <w:numId w:val="2"/>
        </w:numPr>
        <w:spacing w:after="60"/>
      </w:pPr>
      <w:r>
        <w:t xml:space="preserve">Audit completeness on integrity-sensitive flows (must be 100%)</w:t>
      </w:r>
    </w:p>
    <w:p>
      <w:pPr>
        <w:spacing w:after="120"/>
      </w:pPr>
      <w:r>
        <w:t xml:space="preserve"/>
      </w:r>
    </w:p>
    <w:p>
      <w:r>
        <w:br w:type="page"/>
      </w:r>
    </w:p>
    <w:p>
      <w:pPr>
        <w:pStyle w:val="Heading1"/>
      </w:pPr>
      <w:r>
        <w:t xml:space="preserve">6. Application Surfaces</w:t>
      </w:r>
    </w:p>
    <w:p>
      <w:pPr>
        <w:spacing w:after="120"/>
      </w:pPr>
      <w:r>
        <w:t xml:space="preserve">EduClaw is delivered across four surfaces, each tuned to its context but sharing the same TwinAgent core, design system, and learner state. The student experience is continuous: a conversation started in the LMS can be resumed on mobile or in chat without losing context.</w:t>
      </w:r>
    </w:p>
    <w:p>
      <w:pPr>
        <w:pStyle w:val="Heading2"/>
      </w:pPr>
      <w:r>
        <w:t xml:space="preserve">6.1 Web Portal (Student &amp; Faculty)</w:t>
      </w:r>
    </w:p>
    <w:p>
      <w:pPr>
        <w:pStyle w:val="ListParagraph"/>
        <w:numPr>
          <w:ilvl w:val="0"/>
          <w:numId w:val="2"/>
        </w:numPr>
        <w:spacing w:after="60"/>
      </w:pPr>
      <w:r>
        <w:t xml:space="preserve">Stack: Next.js, TypeScript, Tailwind, Radix UI, server-side streaming via the Claude Agent SDK.</w:t>
      </w:r>
    </w:p>
    <w:p>
      <w:pPr>
        <w:pStyle w:val="ListParagraph"/>
        <w:numPr>
          <w:ilvl w:val="0"/>
          <w:numId w:val="2"/>
        </w:numPr>
        <w:spacing w:after="60"/>
      </w:pPr>
      <w:r>
        <w:t xml:space="preserve">Roles: Student companion, Faculty Co-Pilot, Advisor console, Admin/Ops console.</w:t>
      </w:r>
    </w:p>
    <w:p>
      <w:pPr>
        <w:pStyle w:val="ListParagraph"/>
        <w:numPr>
          <w:ilvl w:val="0"/>
          <w:numId w:val="2"/>
        </w:numPr>
        <w:spacing w:after="60"/>
      </w:pPr>
      <w:r>
        <w:t xml:space="preserve">Key features: persistent learning companion, course explorer, study plans, reflection journal, progress dashboards.</w:t>
      </w:r>
    </w:p>
    <w:p>
      <w:pPr>
        <w:pStyle w:val="Heading2"/>
      </w:pPr>
      <w:r>
        <w:t xml:space="preserve">6.2 LMS-Embedded (LTI 1.3)</w:t>
      </w:r>
    </w:p>
    <w:p>
      <w:pPr>
        <w:pStyle w:val="ListParagraph"/>
        <w:numPr>
          <w:ilvl w:val="0"/>
          <w:numId w:val="2"/>
        </w:numPr>
        <w:spacing w:after="60"/>
      </w:pPr>
      <w:r>
        <w:t xml:space="preserve">Targets: Canvas, Blackboard Ultra, Moodle, D2L Brightspace via LTI 1.3 Advantage (Names &amp; Roles, Assignment &amp; Grade Services, Deep Linking).</w:t>
      </w:r>
    </w:p>
    <w:p>
      <w:pPr>
        <w:pStyle w:val="ListParagraph"/>
        <w:numPr>
          <w:ilvl w:val="0"/>
          <w:numId w:val="2"/>
        </w:numPr>
        <w:spacing w:after="60"/>
      </w:pPr>
      <w:r>
        <w:t xml:space="preserve">In-context: agent appears next to assignments, readings, discussions; aware of course, module, and assignment.</w:t>
      </w:r>
    </w:p>
    <w:p>
      <w:pPr>
        <w:pStyle w:val="ListParagraph"/>
        <w:numPr>
          <w:ilvl w:val="0"/>
          <w:numId w:val="2"/>
        </w:numPr>
        <w:spacing w:after="60"/>
      </w:pPr>
      <w:r>
        <w:t xml:space="preserve">Faculty: deep-linking to launch agent-supported activities; opt-in per assignment policy.</w:t>
      </w:r>
    </w:p>
    <w:p>
      <w:pPr>
        <w:pStyle w:val="Heading2"/>
      </w:pPr>
      <w:r>
        <w:t xml:space="preserve">6.3 Mobile (iOS / Android)</w:t>
      </w:r>
    </w:p>
    <w:p>
      <w:pPr>
        <w:pStyle w:val="ListParagraph"/>
        <w:numPr>
          <w:ilvl w:val="0"/>
          <w:numId w:val="2"/>
        </w:numPr>
        <w:spacing w:after="60"/>
      </w:pPr>
      <w:r>
        <w:t xml:space="preserve">Stack: React Native + Expo; native modules for push, biometrics, secure storage.</w:t>
      </w:r>
    </w:p>
    <w:p>
      <w:pPr>
        <w:pStyle w:val="ListParagraph"/>
        <w:numPr>
          <w:ilvl w:val="0"/>
          <w:numId w:val="2"/>
        </w:numPr>
        <w:spacing w:after="60"/>
      </w:pPr>
      <w:r>
        <w:t xml:space="preserve">Use cases: quick check-ins, voice-based reflection, calendar-aware nudges, offline study packs.</w:t>
      </w:r>
    </w:p>
    <w:p>
      <w:pPr>
        <w:pStyle w:val="ListParagraph"/>
        <w:numPr>
          <w:ilvl w:val="0"/>
          <w:numId w:val="2"/>
        </w:numPr>
        <w:spacing w:after="60"/>
      </w:pPr>
      <w:r>
        <w:t xml:space="preserve">Accessibility: VoiceOver/TalkBack, dynamic type, reduced motion support.</w:t>
      </w:r>
    </w:p>
    <w:p>
      <w:pPr>
        <w:pStyle w:val="Heading2"/>
      </w:pPr>
      <w:r>
        <w:t xml:space="preserve">6.4 Chat (Slack and Microsoft Teams)</w:t>
      </w:r>
    </w:p>
    <w:p>
      <w:pPr>
        <w:pStyle w:val="ListParagraph"/>
        <w:numPr>
          <w:ilvl w:val="0"/>
          <w:numId w:val="2"/>
        </w:numPr>
        <w:spacing w:after="60"/>
      </w:pPr>
      <w:r>
        <w:t xml:space="preserve">For faculty co-pilot, advising teams, and operations agents (IT help, financial aid, HR, registrar).</w:t>
      </w:r>
    </w:p>
    <w:p>
      <w:pPr>
        <w:pStyle w:val="ListParagraph"/>
        <w:numPr>
          <w:ilvl w:val="0"/>
          <w:numId w:val="2"/>
        </w:numPr>
        <w:spacing w:after="60"/>
      </w:pPr>
      <w:r>
        <w:t xml:space="preserve">Slash commands and bot mentions, with role-aware responses and FERPA scope checks.</w:t>
      </w:r>
    </w:p>
    <w:p>
      <w:pPr>
        <w:pStyle w:val="ListParagraph"/>
        <w:numPr>
          <w:ilvl w:val="0"/>
          <w:numId w:val="2"/>
        </w:numPr>
        <w:spacing w:after="60"/>
      </w:pPr>
      <w:r>
        <w:t xml:space="preserve">Optional Web Chat embed for student support sites.</w:t>
      </w:r>
    </w:p>
    <w:p>
      <w:pPr>
        <w:pStyle w:val="Heading2"/>
      </w:pPr>
      <w:r>
        <w:t xml:space="preserve">6.5 Cross-Surface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Principle</w:t>
            </w:r>
          </w:p>
        </w:tc>
        <w:tc>
          <w:tcPr>
            <w:tcW w:type="dxa" w:w="696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Implementation</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Continuity</w:t>
            </w:r>
          </w:p>
        </w:tc>
        <w:tc>
          <w:tcPr>
            <w:tcW w:type="dxa" w:w="69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Conversation and learner state shared across all surfaces.</w:t>
            </w:r>
          </w:p>
        </w:tc>
      </w:tr>
      <w:tr>
        <w:tc>
          <w:tcPr>
            <w:tcW w:type="dxa" w:w="24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Pedagogical first</w:t>
            </w:r>
          </w:p>
        </w:tc>
        <w:tc>
          <w:tcPr>
            <w:tcW w:type="dxa" w:w="69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Every surface defaults to guided mode; 'just answer' is an explicit, logged opt-in.</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Accessibility (WCAG 2.2 AA)</w:t>
            </w:r>
          </w:p>
        </w:tc>
        <w:tc>
          <w:tcPr>
            <w:tcW w:type="dxa" w:w="69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Color, contrast, motion, screen-reader, and keyboard parity across surfaces.</w:t>
            </w:r>
          </w:p>
        </w:tc>
      </w:tr>
      <w:tr>
        <w:tc>
          <w:tcPr>
            <w:tcW w:type="dxa" w:w="24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Localization</w:t>
            </w:r>
          </w:p>
        </w:tc>
        <w:tc>
          <w:tcPr>
            <w:tcW w:type="dxa" w:w="69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i18n-ready; initial languages configurable per institution.</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Minimal UI footprint</w:t>
            </w:r>
          </w:p>
        </w:tc>
        <w:tc>
          <w:tcPr>
            <w:tcW w:type="dxa" w:w="69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Composable agent panel embeddable in any institutional UI via web component.</w:t>
            </w:r>
          </w:p>
        </w:tc>
      </w:tr>
    </w:tbl>
    <w:p>
      <w:r>
        <w:br w:type="page"/>
      </w:r>
    </w:p>
    <w:p>
      <w:pPr>
        <w:pStyle w:val="Heading1"/>
      </w:pPr>
      <w:r>
        <w:t xml:space="preserve">7. Integration Layer</w:t>
      </w:r>
    </w:p>
    <w:p>
      <w:pPr>
        <w:spacing w:after="120"/>
      </w:pPr>
      <w:r>
        <w:t xml:space="preserve">Integrations are exposed to agents via MCP servers — one per system — so each agent works against a stable, auditable contract. This isolates change in vendor APIs from the agent layer and produces clear permission boundaries.</w:t>
      </w:r>
    </w:p>
    <w:p>
      <w:pPr>
        <w:pStyle w:val="Heading2"/>
      </w:pPr>
      <w:r>
        <w:t xml:space="preserve">7.1 LMS Integration (LTI 1.3 + REST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LMS</w:t>
            </w:r>
          </w:p>
        </w:tc>
        <w:tc>
          <w:tcPr>
            <w:tcW w:type="dxa" w:w="30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Integration Path</w:t>
            </w:r>
          </w:p>
        </w:tc>
        <w:tc>
          <w:tcPr>
            <w:tcW w:type="dxa" w:w="456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Notes</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Canvas</w:t>
            </w:r>
          </w:p>
        </w:tc>
        <w:tc>
          <w:tcPr>
            <w:tcW w:type="dxa" w:w="30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Canvas REST + LTI 1.3 + GraphQL</w:t>
            </w:r>
          </w:p>
        </w:tc>
        <w:tc>
          <w:tcPr>
            <w:tcW w:type="dxa" w:w="45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Strong API; ideal pilot platform.</w:t>
            </w:r>
          </w:p>
        </w:tc>
      </w:tr>
      <w:tr>
        <w:tc>
          <w:tcPr>
            <w:tcW w:type="dxa" w:w="18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Blackboard Ultra</w:t>
            </w:r>
          </w:p>
        </w:tc>
        <w:tc>
          <w:tcPr>
            <w:tcW w:type="dxa" w:w="30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Blackboard REST + LTI 1.3</w:t>
            </w:r>
          </w:p>
        </w:tc>
        <w:tc>
          <w:tcPr>
            <w:tcW w:type="dxa" w:w="45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Good support for Names &amp; Roles.</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Moodle</w:t>
            </w:r>
          </w:p>
        </w:tc>
        <w:tc>
          <w:tcPr>
            <w:tcW w:type="dxa" w:w="30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Moodle Web Services + LTI 1.3</w:t>
            </w:r>
          </w:p>
        </w:tc>
        <w:tc>
          <w:tcPr>
            <w:tcW w:type="dxa" w:w="45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Plugin distribution channel via Moodle.org.</w:t>
            </w:r>
          </w:p>
        </w:tc>
      </w:tr>
      <w:tr>
        <w:tc>
          <w:tcPr>
            <w:tcW w:type="dxa" w:w="18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D2L Brightspace</w:t>
            </w:r>
          </w:p>
        </w:tc>
        <w:tc>
          <w:tcPr>
            <w:tcW w:type="dxa" w:w="30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Valence API + LTI 1.3</w:t>
            </w:r>
          </w:p>
        </w:tc>
        <w:tc>
          <w:tcPr>
            <w:tcW w:type="dxa" w:w="45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Common in Canadian and US public systems.</w:t>
            </w:r>
          </w:p>
        </w:tc>
      </w:tr>
    </w:tbl>
    <w:p>
      <w:pPr>
        <w:spacing w:after="120"/>
      </w:pPr>
      <w:r>
        <w:t xml:space="preserve"/>
      </w:r>
    </w:p>
    <w:p>
      <w:pPr>
        <w:pStyle w:val="Heading2"/>
      </w:pPr>
      <w:r>
        <w:t xml:space="preserve">7.2 SIS / CRM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System</w:t>
            </w:r>
          </w:p>
        </w:tc>
        <w:tc>
          <w:tcPr>
            <w:tcW w:type="dxa" w:w="30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Integration Path</w:t>
            </w:r>
          </w:p>
        </w:tc>
        <w:tc>
          <w:tcPr>
            <w:tcW w:type="dxa" w:w="396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Use Cases</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Banner (Ellucian)</w:t>
            </w:r>
          </w:p>
        </w:tc>
        <w:tc>
          <w:tcPr>
            <w:tcW w:type="dxa" w:w="30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Ethos APIs / Banner XE</w:t>
            </w:r>
          </w:p>
        </w:tc>
        <w:tc>
          <w:tcPr>
            <w:tcW w:type="dxa" w:w="39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Registration, holds, program mapping, advising.</w:t>
            </w:r>
          </w:p>
        </w:tc>
      </w:tr>
      <w:tr>
        <w:tc>
          <w:tcPr>
            <w:tcW w:type="dxa" w:w="24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Workday Student</w:t>
            </w:r>
          </w:p>
        </w:tc>
        <w:tc>
          <w:tcPr>
            <w:tcW w:type="dxa" w:w="30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Workday REST and Reports as a Service</w:t>
            </w:r>
          </w:p>
        </w:tc>
        <w:tc>
          <w:tcPr>
            <w:tcW w:type="dxa" w:w="39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Records, financial aid, registration.</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Salesforce Education Cloud</w:t>
            </w:r>
          </w:p>
        </w:tc>
        <w:tc>
          <w:tcPr>
            <w:tcW w:type="dxa" w:w="30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Salesforce REST + Platform Events</w:t>
            </w:r>
          </w:p>
        </w:tc>
        <w:tc>
          <w:tcPr>
            <w:tcW w:type="dxa" w:w="39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Advising, CRM, success coaching.</w:t>
            </w:r>
          </w:p>
        </w:tc>
      </w:tr>
    </w:tbl>
    <w:p>
      <w:pPr>
        <w:spacing w:after="120"/>
      </w:pPr>
      <w:r>
        <w:t xml:space="preserve"/>
      </w:r>
    </w:p>
    <w:p>
      <w:pPr>
        <w:pStyle w:val="Heading2"/>
      </w:pPr>
      <w:r>
        <w:t xml:space="preserve">7.3 Identity / SSO</w:t>
      </w:r>
    </w:p>
    <w:p>
      <w:pPr>
        <w:pStyle w:val="ListParagraph"/>
        <w:numPr>
          <w:ilvl w:val="0"/>
          <w:numId w:val="2"/>
        </w:numPr>
        <w:spacing w:after="60"/>
      </w:pPr>
      <w:r>
        <w:t xml:space="preserve">Okta and Azure AD via OIDC for cloud-first institutions.</w:t>
      </w:r>
    </w:p>
    <w:p>
      <w:pPr>
        <w:pStyle w:val="ListParagraph"/>
        <w:numPr>
          <w:ilvl w:val="0"/>
          <w:numId w:val="2"/>
        </w:numPr>
        <w:spacing w:after="60"/>
      </w:pPr>
      <w:r>
        <w:t xml:space="preserve">SAML for legacy IdPs; Shibboleth federation for InCommon participants.</w:t>
      </w:r>
    </w:p>
    <w:p>
      <w:pPr>
        <w:pStyle w:val="ListParagraph"/>
        <w:numPr>
          <w:ilvl w:val="0"/>
          <w:numId w:val="2"/>
        </w:numPr>
        <w:spacing w:after="60"/>
      </w:pPr>
      <w:r>
        <w:t xml:space="preserve">Role mapping: Student, Faculty, Advisor, Admin, Auditor — each with distinct policy bundles.</w:t>
      </w:r>
    </w:p>
    <w:p>
      <w:pPr>
        <w:pStyle w:val="Heading2"/>
      </w:pPr>
      <w:r>
        <w:t xml:space="preserve">7.4 MCP Server Catalog (Phase 1)</w:t>
      </w:r>
    </w:p>
    <w:p>
      <w:pPr>
        <w:pStyle w:val="ListParagraph"/>
        <w:numPr>
          <w:ilvl w:val="0"/>
          <w:numId w:val="2"/>
        </w:numPr>
        <w:spacing w:after="60"/>
      </w:pPr>
      <w:r>
        <w:t xml:space="preserve">lms-mcp (Canvas first), sis-mcp (Banner first), advising-mcp, library-mcp, integrity-mcp, scheduler-mcp, notification-mcp.</w:t>
      </w:r>
    </w:p>
    <w:p>
      <w:r>
        <w:br w:type="page"/>
      </w:r>
    </w:p>
    <w:p>
      <w:pPr>
        <w:pStyle w:val="Heading1"/>
      </w:pPr>
      <w:r>
        <w:t xml:space="preserve">8. Data Architecture and Knowledge Layer</w:t>
      </w:r>
    </w:p>
    <w:p>
      <w:pPr>
        <w:spacing w:after="120"/>
      </w:pPr>
      <w:r>
        <w:t xml:space="preserve">EduClaw's intelligence depends on a disciplined data architecture. Operational data (Postgres) is separated from analytical data (warehouse), and learner-state is modeled explicitly rather than buried in chat history.</w:t>
      </w:r>
    </w:p>
    <w:p>
      <w:pPr>
        <w:pStyle w:val="Heading2"/>
      </w:pPr>
      <w:r>
        <w:t xml:space="preserve">8.1 Data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Domain</w:t>
            </w:r>
          </w:p>
        </w:tc>
        <w:tc>
          <w:tcPr>
            <w:tcW w:type="dxa" w:w="24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Store</w:t>
            </w:r>
          </w:p>
        </w:tc>
        <w:tc>
          <w:tcPr>
            <w:tcW w:type="dxa" w:w="456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Examples</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Identity &amp; Roles</w:t>
            </w:r>
          </w:p>
        </w:tc>
        <w:tc>
          <w:tcPr>
            <w:tcW w:type="dxa" w:w="2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Postgres</w:t>
            </w:r>
          </w:p>
        </w:tc>
        <w:tc>
          <w:tcPr>
            <w:tcW w:type="dxa" w:w="45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Users, roles, consents, scopes.</w:t>
            </w:r>
          </w:p>
        </w:tc>
      </w:tr>
      <w:tr>
        <w:tc>
          <w:tcPr>
            <w:tcW w:type="dxa" w:w="24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Learner State</w:t>
            </w:r>
          </w:p>
        </w:tc>
        <w:tc>
          <w:tcPr>
            <w:tcW w:type="dxa" w:w="24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Postgres + pgvector</w:t>
            </w:r>
          </w:p>
        </w:tc>
        <w:tc>
          <w:tcPr>
            <w:tcW w:type="dxa" w:w="45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Goals, gaps, mastery, reflections, preferences.</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Course Knowledge</w:t>
            </w:r>
          </w:p>
        </w:tc>
        <w:tc>
          <w:tcPr>
            <w:tcW w:type="dxa" w:w="2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pgvector + OpenSearch</w:t>
            </w:r>
          </w:p>
        </w:tc>
        <w:tc>
          <w:tcPr>
            <w:tcW w:type="dxa" w:w="45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Syllabi, readings, lectures, faculty notes.</w:t>
            </w:r>
          </w:p>
        </w:tc>
      </w:tr>
      <w:tr>
        <w:tc>
          <w:tcPr>
            <w:tcW w:type="dxa" w:w="24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Conversations &amp; Traces</w:t>
            </w:r>
          </w:p>
        </w:tc>
        <w:tc>
          <w:tcPr>
            <w:tcW w:type="dxa" w:w="24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Postgres + Langfuse</w:t>
            </w:r>
          </w:p>
        </w:tc>
        <w:tc>
          <w:tcPr>
            <w:tcW w:type="dxa" w:w="45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Per-turn agent traces, decisions, citations.</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Analytics</w:t>
            </w:r>
          </w:p>
        </w:tc>
        <w:tc>
          <w:tcPr>
            <w:tcW w:type="dxa" w:w="2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Snowflake / BigQuery</w:t>
            </w:r>
          </w:p>
        </w:tc>
        <w:tc>
          <w:tcPr>
            <w:tcW w:type="dxa" w:w="45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KPI marts, retention/completion cohorts.</w:t>
            </w:r>
          </w:p>
        </w:tc>
      </w:tr>
    </w:tbl>
    <w:p>
      <w:pPr>
        <w:spacing w:after="120"/>
      </w:pPr>
      <w:r>
        <w:t xml:space="preserve"/>
      </w:r>
    </w:p>
    <w:p>
      <w:pPr>
        <w:pStyle w:val="Heading2"/>
      </w:pPr>
      <w:r>
        <w:t xml:space="preserve">8.2 Knowledge Ingestion Pipeline</w:t>
      </w:r>
    </w:p>
    <w:p>
      <w:pPr>
        <w:pStyle w:val="ListParagraph"/>
        <w:numPr>
          <w:ilvl w:val="0"/>
          <w:numId w:val="3"/>
        </w:numPr>
        <w:spacing w:after="60"/>
      </w:pPr>
      <w:r>
        <w:t xml:space="preserve">Ingest course materials (syllabi, readings, lectures, OER) via faculty workflows and LMS sync.</w:t>
      </w:r>
    </w:p>
    <w:p>
      <w:pPr>
        <w:pStyle w:val="ListParagraph"/>
        <w:numPr>
          <w:ilvl w:val="0"/>
          <w:numId w:val="3"/>
        </w:numPr>
        <w:spacing w:after="60"/>
      </w:pPr>
      <w:r>
        <w:t xml:space="preserve">Normalize and chunk; tag with course, module, and outcome metadata.</w:t>
      </w:r>
    </w:p>
    <w:p>
      <w:pPr>
        <w:pStyle w:val="ListParagraph"/>
        <w:numPr>
          <w:ilvl w:val="0"/>
          <w:numId w:val="3"/>
        </w:numPr>
        <w:spacing w:after="60"/>
      </w:pPr>
      <w:r>
        <w:t xml:space="preserve">Embed (Claude or open embedding model) and index into pgvector + OpenSearch.</w:t>
      </w:r>
    </w:p>
    <w:p>
      <w:pPr>
        <w:pStyle w:val="ListParagraph"/>
        <w:numPr>
          <w:ilvl w:val="0"/>
          <w:numId w:val="3"/>
        </w:numPr>
        <w:spacing w:after="60"/>
      </w:pPr>
      <w:r>
        <w:t xml:space="preserve">Faculty review queue for high-stakes content (e.g., disputed sources).</w:t>
      </w:r>
    </w:p>
    <w:p>
      <w:pPr>
        <w:pStyle w:val="ListParagraph"/>
        <w:numPr>
          <w:ilvl w:val="0"/>
          <w:numId w:val="3"/>
        </w:numPr>
        <w:spacing w:after="60"/>
      </w:pPr>
      <w:r>
        <w:t xml:space="preserve">Versioning and provenance maintained for every chunk.</w:t>
      </w:r>
    </w:p>
    <w:p>
      <w:pPr>
        <w:pStyle w:val="Heading2"/>
      </w:pPr>
      <w:r>
        <w:t xml:space="preserve">8.3 Learner-State Model</w:t>
      </w:r>
    </w:p>
    <w:p>
      <w:pPr>
        <w:pStyle w:val="ListParagraph"/>
        <w:numPr>
          <w:ilvl w:val="0"/>
          <w:numId w:val="2"/>
        </w:numPr>
        <w:spacing w:after="60"/>
      </w:pPr>
      <w:r>
        <w:t xml:space="preserve">Goals: explicit (chosen) and inferred.</w:t>
      </w:r>
    </w:p>
    <w:p>
      <w:pPr>
        <w:pStyle w:val="ListParagraph"/>
        <w:numPr>
          <w:ilvl w:val="0"/>
          <w:numId w:val="2"/>
        </w:numPr>
        <w:spacing w:after="60"/>
      </w:pPr>
      <w:r>
        <w:t xml:space="preserve">Mastery map: per-outcome estimates with evidence.</w:t>
      </w:r>
    </w:p>
    <w:p>
      <w:pPr>
        <w:pStyle w:val="ListParagraph"/>
        <w:numPr>
          <w:ilvl w:val="0"/>
          <w:numId w:val="2"/>
        </w:numPr>
        <w:spacing w:after="60"/>
      </w:pPr>
      <w:r>
        <w:t xml:space="preserve">Engagement signals: activity cadence, reflection cadence.</w:t>
      </w:r>
    </w:p>
    <w:p>
      <w:pPr>
        <w:pStyle w:val="ListParagraph"/>
        <w:numPr>
          <w:ilvl w:val="0"/>
          <w:numId w:val="2"/>
        </w:numPr>
        <w:spacing w:after="60"/>
      </w:pPr>
      <w:r>
        <w:t xml:space="preserve">Affective signals (privacy-preserving aggregates only).</w:t>
      </w:r>
    </w:p>
    <w:p>
      <w:pPr>
        <w:pStyle w:val="ListParagraph"/>
        <w:numPr>
          <w:ilvl w:val="0"/>
          <w:numId w:val="2"/>
        </w:numPr>
        <w:spacing w:after="60"/>
      </w:pPr>
      <w:r>
        <w:t xml:space="preserve">Consent ledger: what data the learner has chosen to share.</w:t>
      </w:r>
    </w:p>
    <w:p>
      <w:r>
        <w:br w:type="page"/>
      </w:r>
    </w:p>
    <w:p>
      <w:pPr>
        <w:pStyle w:val="Heading1"/>
      </w:pPr>
      <w:r>
        <w:t xml:space="preserve">9. Phased Implementation Roadmap</w:t>
      </w:r>
    </w:p>
    <w:p>
      <w:pPr>
        <w:spacing w:after="120"/>
      </w:pPr>
      <w:r>
        <w:t xml:space="preserve">Delivery follows the Implementation Blueprint: Foundation → AI Assistant Deployment → TwinAgent Layer → Course &amp; Faculty Integration → Institutional Expansion. The 18-month plan below is structured around five phases with explicit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060"/>
        <w:gridCol w:w="3000"/>
      </w:tblGrid>
      <w:tr>
        <w:trPr>
          <w:tblHeader/>
        </w:trPr>
        <w:tc>
          <w:tcPr>
            <w:tcW w:type="dxa" w:w="18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Phase</w:t>
            </w:r>
          </w:p>
        </w:tc>
        <w:tc>
          <w:tcPr>
            <w:tcW w:type="dxa" w:w="15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Timeline</w:t>
            </w:r>
          </w:p>
        </w:tc>
        <w:tc>
          <w:tcPr>
            <w:tcW w:type="dxa" w:w="306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Outcomes</w:t>
            </w:r>
          </w:p>
        </w:tc>
        <w:tc>
          <w:tcPr>
            <w:tcW w:type="dxa" w:w="30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Exit Criteria</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1. Foundation</w:t>
            </w:r>
          </w:p>
        </w:tc>
        <w:tc>
          <w:tcPr>
            <w:tcW w:type="dxa" w:w="15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Months 1–3</w:t>
            </w:r>
          </w:p>
        </w:tc>
        <w:tc>
          <w:tcPr>
            <w:tcW w:type="dxa" w:w="30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Infra, governance, data, identity, observability, eval harness, MCP scaffolding.</w:t>
            </w:r>
          </w:p>
        </w:tc>
        <w:tc>
          <w:tcPr>
            <w:tcW w:type="dxa" w:w="30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Secure VPC; SSO live; baseline evals running; FERPA review complete.</w:t>
            </w:r>
          </w:p>
        </w:tc>
      </w:tr>
      <w:tr>
        <w:tc>
          <w:tcPr>
            <w:tcW w:type="dxa" w:w="18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2. AI Assistant Deployment</w:t>
            </w:r>
          </w:p>
        </w:tc>
        <w:tc>
          <w:tcPr>
            <w:tcW w:type="dxa" w:w="15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Months 3–6</w:t>
            </w:r>
          </w:p>
        </w:tc>
        <w:tc>
          <w:tcPr>
            <w:tcW w:type="dxa" w:w="30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First student-facing assistant on Web with Inference + Dialogue + Execution agents.</w:t>
            </w:r>
          </w:p>
        </w:tc>
        <w:tc>
          <w:tcPr>
            <w:tcW w:type="dxa" w:w="30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Pilot with 1–3 courses; CSAT ≥ 4.2/5; FERPA logs green.</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3. TwinAgent Layer</w:t>
            </w:r>
          </w:p>
        </w:tc>
        <w:tc>
          <w:tcPr>
            <w:tcW w:type="dxa" w:w="15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Months 6–9</w:t>
            </w:r>
          </w:p>
        </w:tc>
        <w:tc>
          <w:tcPr>
            <w:tcW w:type="dxa" w:w="30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Add Validation and Reflection; multi-agent orchestration; faculty Validation review console.</w:t>
            </w:r>
          </w:p>
        </w:tc>
        <w:tc>
          <w:tcPr>
            <w:tcW w:type="dxa" w:w="30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False-block rate &lt; 5%; faculty agreement ≥ 85%; reflection completion ≥ 30%.</w:t>
            </w:r>
          </w:p>
        </w:tc>
      </w:tr>
      <w:tr>
        <w:tc>
          <w:tcPr>
            <w:tcW w:type="dxa" w:w="18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4. Course &amp; Faculty Integration</w:t>
            </w:r>
          </w:p>
        </w:tc>
        <w:tc>
          <w:tcPr>
            <w:tcW w:type="dxa" w:w="15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Months 9–13</w:t>
            </w:r>
          </w:p>
        </w:tc>
        <w:tc>
          <w:tcPr>
            <w:tcW w:type="dxa" w:w="30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LMS embed across Canvas/Blackboard/Moodle/D2L; faculty co-pilot; discipline guardrails; mobile launch.</w:t>
            </w:r>
          </w:p>
        </w:tc>
        <w:tc>
          <w:tcPr>
            <w:tcW w:type="dxa" w:w="30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 25 courses live; faculty NPS ≥ +20; Mobile rated ≥ 4.4.</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5. Institutional Expansion</w:t>
            </w:r>
          </w:p>
        </w:tc>
        <w:tc>
          <w:tcPr>
            <w:tcW w:type="dxa" w:w="15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Months 13–18</w:t>
            </w:r>
          </w:p>
        </w:tc>
        <w:tc>
          <w:tcPr>
            <w:tcW w:type="dxa" w:w="30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Advising, library, ops agents (IT help, financial aid, HR); institution-wide rollout; chat surfaces.</w:t>
            </w:r>
          </w:p>
        </w:tc>
        <w:tc>
          <w:tcPr>
            <w:tcW w:type="dxa" w:w="30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Full surface coverage; KPI dashboard live for cabinet; ≥ 50% active student adoption.</w:t>
            </w:r>
          </w:p>
        </w:tc>
      </w:tr>
    </w:tbl>
    <w:p>
      <w:pPr>
        <w:spacing w:after="120"/>
      </w:pPr>
      <w:r>
        <w:t xml:space="preserve"/>
      </w:r>
    </w:p>
    <w:p>
      <w:pPr>
        <w:pStyle w:val="Heading2"/>
      </w:pPr>
      <w:r>
        <w:t xml:space="preserve">9.1 Cross-Phase Workstreams</w:t>
      </w:r>
    </w:p>
    <w:p>
      <w:pPr>
        <w:pStyle w:val="ListParagraph"/>
        <w:numPr>
          <w:ilvl w:val="0"/>
          <w:numId w:val="2"/>
        </w:numPr>
        <w:spacing w:after="60"/>
      </w:pPr>
      <w:r>
        <w:t xml:space="preserve">Pedagogy &amp; Faculty Engagement: a faculty design partner cohort runs throughout.</w:t>
      </w:r>
    </w:p>
    <w:p>
      <w:pPr>
        <w:pStyle w:val="ListParagraph"/>
        <w:numPr>
          <w:ilvl w:val="0"/>
          <w:numId w:val="2"/>
        </w:numPr>
        <w:spacing w:after="60"/>
      </w:pPr>
      <w:r>
        <w:t xml:space="preserve">Evals &amp; Safety: gold sets grow with each phase; red-team cadence quarterly.</w:t>
      </w:r>
    </w:p>
    <w:p>
      <w:pPr>
        <w:pStyle w:val="ListParagraph"/>
        <w:numPr>
          <w:ilvl w:val="0"/>
          <w:numId w:val="2"/>
        </w:numPr>
        <w:spacing w:after="60"/>
      </w:pPr>
      <w:r>
        <w:t xml:space="preserve">Security &amp; Privacy: continuous FERPA, accessibility (WCAG 2.2 AA), and security reviews.</w:t>
      </w:r>
    </w:p>
    <w:p>
      <w:pPr>
        <w:pStyle w:val="ListParagraph"/>
        <w:numPr>
          <w:ilvl w:val="0"/>
          <w:numId w:val="2"/>
        </w:numPr>
        <w:spacing w:after="60"/>
      </w:pPr>
      <w:r>
        <w:t xml:space="preserve">Change Management: communications, training, opt-in pilots, transparent reporting.</w:t>
      </w:r>
    </w:p>
    <w:p>
      <w:r>
        <w:br w:type="page"/>
      </w:r>
    </w:p>
    <w:p>
      <w:pPr>
        <w:pStyle w:val="Heading1"/>
      </w:pPr>
      <w:r>
        <w:t xml:space="preserve">10. Security, Privacy, FERPA and Academic Integrity</w:t>
      </w:r>
    </w:p>
    <w:p>
      <w:pPr>
        <w:spacing w:after="120"/>
      </w:pPr>
      <w:r>
        <w:t xml:space="preserve">EduClaw's value depends on trust. Three policy stacks operate continuously: data protection (FERPA-aligned, with student consent ledgers), responsible AI (content safety, bias, calibration), and academic integrity (assignment-level policy enforcement by the Validation Agent).</w:t>
      </w:r>
    </w:p>
    <w:p>
      <w:pPr>
        <w:pStyle w:val="Heading2"/>
      </w:pPr>
      <w:r>
        <w:t xml:space="preserve">10.1 FERPA &amp; Privacy Posture</w:t>
      </w:r>
    </w:p>
    <w:p>
      <w:pPr>
        <w:pStyle w:val="ListParagraph"/>
        <w:numPr>
          <w:ilvl w:val="0"/>
          <w:numId w:val="2"/>
        </w:numPr>
        <w:spacing w:after="60"/>
      </w:pPr>
      <w:r>
        <w:t xml:space="preserve">Data minimization: agents only see what they need; scope expansions are logged and auditable.</w:t>
      </w:r>
    </w:p>
    <w:p>
      <w:pPr>
        <w:pStyle w:val="ListParagraph"/>
        <w:numPr>
          <w:ilvl w:val="0"/>
          <w:numId w:val="2"/>
        </w:numPr>
        <w:spacing w:after="60"/>
      </w:pPr>
      <w:r>
        <w:t xml:space="preserve">Consent ledger: students see and control what data flows into EduClaw; an in-app privacy center makes this concrete.</w:t>
      </w:r>
    </w:p>
    <w:p>
      <w:pPr>
        <w:pStyle w:val="ListParagraph"/>
        <w:numPr>
          <w:ilvl w:val="0"/>
          <w:numId w:val="2"/>
        </w:numPr>
        <w:spacing w:after="60"/>
      </w:pPr>
      <w:r>
        <w:t xml:space="preserve">Data residency: U.S.-region storage by default; configurable per institution.</w:t>
      </w:r>
    </w:p>
    <w:p>
      <w:pPr>
        <w:pStyle w:val="ListParagraph"/>
        <w:numPr>
          <w:ilvl w:val="0"/>
          <w:numId w:val="2"/>
        </w:numPr>
        <w:spacing w:after="60"/>
      </w:pPr>
      <w:r>
        <w:t xml:space="preserve">No training of foundation models on student data without explicit institutional opt-in.</w:t>
      </w:r>
    </w:p>
    <w:p>
      <w:pPr>
        <w:pStyle w:val="Heading2"/>
      </w:pPr>
      <w:r>
        <w:t xml:space="preserve">10.2 Academic Integrity</w:t>
      </w:r>
    </w:p>
    <w:p>
      <w:pPr>
        <w:pStyle w:val="ListParagraph"/>
        <w:numPr>
          <w:ilvl w:val="0"/>
          <w:numId w:val="2"/>
        </w:numPr>
        <w:spacing w:after="60"/>
      </w:pPr>
      <w:r>
        <w:t xml:space="preserve">Per-assignment policy bundles drive the Validation Agent.</w:t>
      </w:r>
    </w:p>
    <w:p>
      <w:pPr>
        <w:pStyle w:val="ListParagraph"/>
        <w:numPr>
          <w:ilvl w:val="0"/>
          <w:numId w:val="2"/>
        </w:numPr>
        <w:spacing w:after="60"/>
      </w:pPr>
      <w:r>
        <w:t xml:space="preserve">Faculty author the policy ('show me, don't solve for me'); EduClaw enforces it.</w:t>
      </w:r>
    </w:p>
    <w:p>
      <w:pPr>
        <w:pStyle w:val="ListParagraph"/>
        <w:numPr>
          <w:ilvl w:val="0"/>
          <w:numId w:val="2"/>
        </w:numPr>
        <w:spacing w:after="60"/>
      </w:pPr>
      <w:r>
        <w:t xml:space="preserve">Suspected violations route to a faculty review queue with full reasoning traces.</w:t>
      </w:r>
    </w:p>
    <w:p>
      <w:pPr>
        <w:pStyle w:val="Heading2"/>
      </w:pPr>
      <w:r>
        <w:t xml:space="preserve">10.3 Responsible AI</w:t>
      </w:r>
    </w:p>
    <w:p>
      <w:pPr>
        <w:pStyle w:val="ListParagraph"/>
        <w:numPr>
          <w:ilvl w:val="0"/>
          <w:numId w:val="2"/>
        </w:numPr>
        <w:spacing w:after="60"/>
      </w:pPr>
      <w:r>
        <w:t xml:space="preserve">Calibrated uncertainty: agents express confidence and cite sources.</w:t>
      </w:r>
    </w:p>
    <w:p>
      <w:pPr>
        <w:pStyle w:val="ListParagraph"/>
        <w:numPr>
          <w:ilvl w:val="0"/>
          <w:numId w:val="2"/>
        </w:numPr>
        <w:spacing w:after="60"/>
      </w:pPr>
      <w:r>
        <w:t xml:space="preserve">Bias and fairness evaluations across demographic slices.</w:t>
      </w:r>
    </w:p>
    <w:p>
      <w:pPr>
        <w:pStyle w:val="ListParagraph"/>
        <w:numPr>
          <w:ilvl w:val="0"/>
          <w:numId w:val="2"/>
        </w:numPr>
        <w:spacing w:after="60"/>
      </w:pPr>
      <w:r>
        <w:t xml:space="preserve">Quarterly external red-team and pedagogy review.</w:t>
      </w:r>
    </w:p>
    <w:p>
      <w:pPr>
        <w:pStyle w:val="Heading2"/>
      </w:pPr>
      <w:r>
        <w:t xml:space="preserve">10.4 Security</w:t>
      </w:r>
    </w:p>
    <w:p>
      <w:pPr>
        <w:pStyle w:val="ListParagraph"/>
        <w:numPr>
          <w:ilvl w:val="0"/>
          <w:numId w:val="2"/>
        </w:numPr>
        <w:spacing w:after="60"/>
      </w:pPr>
      <w:r>
        <w:t xml:space="preserve">Private VPC, KMS-encrypted storage, secrets in vault, mTLS service mesh.</w:t>
      </w:r>
    </w:p>
    <w:p>
      <w:pPr>
        <w:pStyle w:val="ListParagraph"/>
        <w:numPr>
          <w:ilvl w:val="0"/>
          <w:numId w:val="2"/>
        </w:numPr>
        <w:spacing w:after="60"/>
      </w:pPr>
      <w:r>
        <w:t xml:space="preserve">Role-based access with break-glass logging; separation of duties for data engineering vs. agent operations.</w:t>
      </w:r>
    </w:p>
    <w:p>
      <w:pPr>
        <w:pStyle w:val="ListParagraph"/>
        <w:numPr>
          <w:ilvl w:val="0"/>
          <w:numId w:val="2"/>
        </w:numPr>
        <w:spacing w:after="60"/>
      </w:pPr>
      <w:r>
        <w:t xml:space="preserve">SOC 2 Type II target by end of Phase 4; alignment with NIST AI RMF and EDUCAUSE HECVAT.</w:t>
      </w:r>
    </w:p>
    <w:p>
      <w:r>
        <w:br w:type="page"/>
      </w:r>
    </w:p>
    <w:p>
      <w:pPr>
        <w:pStyle w:val="Heading1"/>
      </w:pPr>
      <w:r>
        <w:t xml:space="preserve">11. Operating Model and Team</w:t>
      </w:r>
    </w:p>
    <w:p>
      <w:pPr>
        <w:pStyle w:val="Heading2"/>
      </w:pPr>
      <w:r>
        <w:t xml:space="preserve">11.1 Org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500"/>
        <w:gridCol w:w="1500"/>
      </w:tblGrid>
      <w:tr>
        <w:trPr>
          <w:tblHeader/>
        </w:trPr>
        <w:tc>
          <w:tcPr>
            <w:tcW w:type="dxa" w:w="22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Function</w:t>
            </w:r>
          </w:p>
        </w:tc>
        <w:tc>
          <w:tcPr>
            <w:tcW w:type="dxa" w:w="416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Roles</w:t>
            </w:r>
          </w:p>
        </w:tc>
        <w:tc>
          <w:tcPr>
            <w:tcW w:type="dxa" w:w="15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Phase 1 Headcount</w:t>
            </w:r>
          </w:p>
        </w:tc>
        <w:tc>
          <w:tcPr>
            <w:tcW w:type="dxa" w:w="15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Steady-State Headcount</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Product &amp; Pedagogy</w:t>
            </w:r>
          </w:p>
        </w:tc>
        <w:tc>
          <w:tcPr>
            <w:tcW w:type="dxa" w:w="41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Product Manager, Learning Scientist, Instructional Designer</w:t>
            </w:r>
          </w:p>
        </w:tc>
        <w:tc>
          <w:tcPr>
            <w:tcW w:type="dxa" w:w="15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3</w:t>
            </w:r>
          </w:p>
        </w:tc>
        <w:tc>
          <w:tcPr>
            <w:tcW w:type="dxa" w:w="15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5–6</w:t>
            </w:r>
          </w:p>
        </w:tc>
      </w:tr>
      <w:tr>
        <w:tc>
          <w:tcPr>
            <w:tcW w:type="dxa" w:w="22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Engineering — Agents</w:t>
            </w:r>
          </w:p>
        </w:tc>
        <w:tc>
          <w:tcPr>
            <w:tcW w:type="dxa" w:w="41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Lead, Sr. AI Engineers, Eval Engineer</w:t>
            </w:r>
          </w:p>
        </w:tc>
        <w:tc>
          <w:tcPr>
            <w:tcW w:type="dxa" w:w="15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3</w:t>
            </w:r>
          </w:p>
        </w:tc>
        <w:tc>
          <w:tcPr>
            <w:tcW w:type="dxa" w:w="15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6–8</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Engineering — Platform</w:t>
            </w:r>
          </w:p>
        </w:tc>
        <w:tc>
          <w:tcPr>
            <w:tcW w:type="dxa" w:w="41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Backend, Data, DevOps/SRE, Security</w:t>
            </w:r>
          </w:p>
        </w:tc>
        <w:tc>
          <w:tcPr>
            <w:tcW w:type="dxa" w:w="15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4</w:t>
            </w:r>
          </w:p>
        </w:tc>
        <w:tc>
          <w:tcPr>
            <w:tcW w:type="dxa" w:w="15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7–9</w:t>
            </w:r>
          </w:p>
        </w:tc>
      </w:tr>
      <w:tr>
        <w:tc>
          <w:tcPr>
            <w:tcW w:type="dxa" w:w="22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Engineering — Surfaces</w:t>
            </w:r>
          </w:p>
        </w:tc>
        <w:tc>
          <w:tcPr>
            <w:tcW w:type="dxa" w:w="41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Web, Mobile, LMS Integrations</w:t>
            </w:r>
          </w:p>
        </w:tc>
        <w:tc>
          <w:tcPr>
            <w:tcW w:type="dxa" w:w="15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3</w:t>
            </w:r>
          </w:p>
        </w:tc>
        <w:tc>
          <w:tcPr>
            <w:tcW w:type="dxa" w:w="15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5–7</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Design</w:t>
            </w:r>
          </w:p>
        </w:tc>
        <w:tc>
          <w:tcPr>
            <w:tcW w:type="dxa" w:w="41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UX Lead, Researcher, Content Designer</w:t>
            </w:r>
          </w:p>
        </w:tc>
        <w:tc>
          <w:tcPr>
            <w:tcW w:type="dxa" w:w="15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2</w:t>
            </w:r>
          </w:p>
        </w:tc>
        <w:tc>
          <w:tcPr>
            <w:tcW w:type="dxa" w:w="15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3–4</w:t>
            </w:r>
          </w:p>
        </w:tc>
      </w:tr>
      <w:tr>
        <w:tc>
          <w:tcPr>
            <w:tcW w:type="dxa" w:w="22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Faculty Engagement &amp; Ops</w:t>
            </w:r>
          </w:p>
        </w:tc>
        <w:tc>
          <w:tcPr>
            <w:tcW w:type="dxa" w:w="41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Faculty Lead, Advising Lead, Support</w:t>
            </w:r>
          </w:p>
        </w:tc>
        <w:tc>
          <w:tcPr>
            <w:tcW w:type="dxa" w:w="15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2</w:t>
            </w:r>
          </w:p>
        </w:tc>
        <w:tc>
          <w:tcPr>
            <w:tcW w:type="dxa" w:w="15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4–5</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Compliance &amp; Risk</w:t>
            </w:r>
          </w:p>
        </w:tc>
        <w:tc>
          <w:tcPr>
            <w:tcW w:type="dxa" w:w="41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Privacy Officer, FERPA Counsel (fractional), AI Risk Lead</w:t>
            </w:r>
          </w:p>
        </w:tc>
        <w:tc>
          <w:tcPr>
            <w:tcW w:type="dxa" w:w="15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1.5</w:t>
            </w:r>
          </w:p>
        </w:tc>
        <w:tc>
          <w:tcPr>
            <w:tcW w:type="dxa" w:w="15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2–3</w:t>
            </w:r>
          </w:p>
        </w:tc>
      </w:tr>
    </w:tbl>
    <w:p>
      <w:pPr>
        <w:spacing w:after="120"/>
      </w:pPr>
      <w:r>
        <w:t xml:space="preserve"/>
      </w:r>
    </w:p>
    <w:p>
      <w:pPr>
        <w:pStyle w:val="Heading2"/>
      </w:pPr>
      <w:r>
        <w:t xml:space="preserve">11.2 Faculty Design Partners</w:t>
      </w:r>
    </w:p>
    <w:p>
      <w:pPr>
        <w:pStyle w:val="ListParagraph"/>
        <w:numPr>
          <w:ilvl w:val="0"/>
          <w:numId w:val="2"/>
        </w:numPr>
        <w:spacing w:after="60"/>
      </w:pPr>
      <w:r>
        <w:t xml:space="preserve">Recruit a cohort of 8–12 faculty across disciplines (STEM, humanities, professional).</w:t>
      </w:r>
    </w:p>
    <w:p>
      <w:pPr>
        <w:pStyle w:val="ListParagraph"/>
        <w:numPr>
          <w:ilvl w:val="0"/>
          <w:numId w:val="2"/>
        </w:numPr>
        <w:spacing w:after="60"/>
      </w:pPr>
      <w:r>
        <w:t xml:space="preserve">Quarterly co-design sprints; each course contributes a 'Validation Policy' authored by faculty.</w:t>
      </w:r>
    </w:p>
    <w:p>
      <w:pPr>
        <w:pStyle w:val="ListParagraph"/>
        <w:numPr>
          <w:ilvl w:val="0"/>
          <w:numId w:val="2"/>
        </w:numPr>
        <w:spacing w:after="60"/>
      </w:pPr>
      <w:r>
        <w:t xml:space="preserve">Outcomes feed the eval harness so EduClaw stays pedagogically aligned.</w:t>
      </w:r>
    </w:p>
    <w:p>
      <w:r>
        <w:br w:type="page"/>
      </w:r>
    </w:p>
    <w:p>
      <w:pPr>
        <w:pStyle w:val="Heading1"/>
      </w:pPr>
      <w:r>
        <w:t xml:space="preserve">12. Success Metrics and KPIs</w:t>
      </w:r>
    </w:p>
    <w:p>
      <w:pPr>
        <w:spacing w:after="120"/>
      </w:pPr>
      <w:r>
        <w:t xml:space="preserve">EduClaw is measured against learning outcomes — not just usage. The Implementation Blueprint defines six headline metrics: retention up, completion up, engagement up, time-to-degree down, advisor workload down, and student satisfaction up.</w:t>
      </w:r>
    </w:p>
    <w:p>
      <w:pPr>
        <w:pStyle w:val="Heading2"/>
      </w:pPr>
      <w:r>
        <w:t xml:space="preserve">12.1 Headline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2400"/>
        <w:gridCol w:w="2460"/>
      </w:tblGrid>
      <w:tr>
        <w:trPr>
          <w:tblHeader/>
        </w:trPr>
        <w:tc>
          <w:tcPr>
            <w:tcW w:type="dxa" w:w="32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Metric</w:t>
            </w:r>
          </w:p>
        </w:tc>
        <w:tc>
          <w:tcPr>
            <w:tcW w:type="dxa" w:w="13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Direction</w:t>
            </w:r>
          </w:p>
        </w:tc>
        <w:tc>
          <w:tcPr>
            <w:tcW w:type="dxa" w:w="24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Phase 2 Baseline</w:t>
            </w:r>
          </w:p>
        </w:tc>
        <w:tc>
          <w:tcPr>
            <w:tcW w:type="dxa" w:w="246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Phase 5 Target</w:t>
            </w:r>
          </w:p>
        </w:tc>
      </w:tr>
      <w:tr>
        <w:tc>
          <w:tcPr>
            <w:tcW w:type="dxa" w:w="3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Retention</w:t>
            </w:r>
          </w:p>
        </w:tc>
        <w:tc>
          <w:tcPr>
            <w:tcW w:type="dxa" w:w="13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Up</w:t>
            </w:r>
          </w:p>
        </w:tc>
        <w:tc>
          <w:tcPr>
            <w:tcW w:type="dxa" w:w="2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Institutional baseline</w:t>
            </w:r>
          </w:p>
        </w:tc>
        <w:tc>
          <w:tcPr>
            <w:tcW w:type="dxa" w:w="24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+3 to +5 pp on participating cohorts</w:t>
            </w:r>
          </w:p>
        </w:tc>
      </w:tr>
      <w:tr>
        <w:tc>
          <w:tcPr>
            <w:tcW w:type="dxa" w:w="32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Completion</w:t>
            </w:r>
          </w:p>
        </w:tc>
        <w:tc>
          <w:tcPr>
            <w:tcW w:type="dxa" w:w="13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Up</w:t>
            </w:r>
          </w:p>
        </w:tc>
        <w:tc>
          <w:tcPr>
            <w:tcW w:type="dxa" w:w="24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Institutional baseline</w:t>
            </w:r>
          </w:p>
        </w:tc>
        <w:tc>
          <w:tcPr>
            <w:tcW w:type="dxa" w:w="24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+5 pp on supported courses</w:t>
            </w:r>
          </w:p>
        </w:tc>
      </w:tr>
      <w:tr>
        <w:tc>
          <w:tcPr>
            <w:tcW w:type="dxa" w:w="3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Engagement (DAU/MAU and reflection cadence)</w:t>
            </w:r>
          </w:p>
        </w:tc>
        <w:tc>
          <w:tcPr>
            <w:tcW w:type="dxa" w:w="13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Up</w:t>
            </w:r>
          </w:p>
        </w:tc>
        <w:tc>
          <w:tcPr>
            <w:tcW w:type="dxa" w:w="2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n/a</w:t>
            </w:r>
          </w:p>
        </w:tc>
        <w:tc>
          <w:tcPr>
            <w:tcW w:type="dxa" w:w="24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DAU/MAU ≥ 40%; reflection ≥ 35%</w:t>
            </w:r>
          </w:p>
        </w:tc>
      </w:tr>
      <w:tr>
        <w:tc>
          <w:tcPr>
            <w:tcW w:type="dxa" w:w="32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Time-to-Degree</w:t>
            </w:r>
          </w:p>
        </w:tc>
        <w:tc>
          <w:tcPr>
            <w:tcW w:type="dxa" w:w="13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Down</w:t>
            </w:r>
          </w:p>
        </w:tc>
        <w:tc>
          <w:tcPr>
            <w:tcW w:type="dxa" w:w="24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Institutional baseline</w:t>
            </w:r>
          </w:p>
        </w:tc>
        <w:tc>
          <w:tcPr>
            <w:tcW w:type="dxa" w:w="24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−0.2 to −0.4 semesters on advised cohorts</w:t>
            </w:r>
          </w:p>
        </w:tc>
      </w:tr>
      <w:tr>
        <w:tc>
          <w:tcPr>
            <w:tcW w:type="dxa" w:w="3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Advisor Workload (routine queries)</w:t>
            </w:r>
          </w:p>
        </w:tc>
        <w:tc>
          <w:tcPr>
            <w:tcW w:type="dxa" w:w="13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Down</w:t>
            </w:r>
          </w:p>
        </w:tc>
        <w:tc>
          <w:tcPr>
            <w:tcW w:type="dxa" w:w="2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n/a</w:t>
            </w:r>
          </w:p>
        </w:tc>
        <w:tc>
          <w:tcPr>
            <w:tcW w:type="dxa" w:w="24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−30% routine ticket volume</w:t>
            </w:r>
          </w:p>
        </w:tc>
      </w:tr>
      <w:tr>
        <w:tc>
          <w:tcPr>
            <w:tcW w:type="dxa" w:w="32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Student Satisfaction</w:t>
            </w:r>
          </w:p>
        </w:tc>
        <w:tc>
          <w:tcPr>
            <w:tcW w:type="dxa" w:w="13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Up</w:t>
            </w:r>
          </w:p>
        </w:tc>
        <w:tc>
          <w:tcPr>
            <w:tcW w:type="dxa" w:w="24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n/a</w:t>
            </w:r>
          </w:p>
        </w:tc>
        <w:tc>
          <w:tcPr>
            <w:tcW w:type="dxa" w:w="24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CSAT ≥ 4.4/5; NPS ≥ +30</w:t>
            </w:r>
          </w:p>
        </w:tc>
      </w:tr>
    </w:tbl>
    <w:p>
      <w:pPr>
        <w:spacing w:after="120"/>
      </w:pPr>
      <w:r>
        <w:t xml:space="preserve"/>
      </w:r>
    </w:p>
    <w:p>
      <w:pPr>
        <w:pStyle w:val="Heading2"/>
      </w:pPr>
      <w:r>
        <w:t xml:space="preserve">12.2 Pedagogy &amp; Safety Metrics</w:t>
      </w:r>
    </w:p>
    <w:p>
      <w:pPr>
        <w:pStyle w:val="ListParagraph"/>
        <w:numPr>
          <w:ilvl w:val="0"/>
          <w:numId w:val="2"/>
        </w:numPr>
        <w:spacing w:after="60"/>
      </w:pPr>
      <w:r>
        <w:t xml:space="preserve">Validation false-block rate &lt; 5%; faculty agreement ≥ 85%.</w:t>
      </w:r>
    </w:p>
    <w:p>
      <w:pPr>
        <w:pStyle w:val="ListParagraph"/>
        <w:numPr>
          <w:ilvl w:val="0"/>
          <w:numId w:val="2"/>
        </w:numPr>
        <w:spacing w:after="60"/>
      </w:pPr>
      <w:r>
        <w:t xml:space="preserve">Source-citation rate on Execution outputs ≥ 90%.</w:t>
      </w:r>
    </w:p>
    <w:p>
      <w:pPr>
        <w:pStyle w:val="ListParagraph"/>
        <w:numPr>
          <w:ilvl w:val="0"/>
          <w:numId w:val="2"/>
        </w:numPr>
        <w:spacing w:after="60"/>
      </w:pPr>
      <w:r>
        <w:t xml:space="preserve">Diagnosis accuracy (Inference) vs. faculty gold set ≥ 85%.</w:t>
      </w:r>
    </w:p>
    <w:p>
      <w:pPr>
        <w:pStyle w:val="ListParagraph"/>
        <w:numPr>
          <w:ilvl w:val="0"/>
          <w:numId w:val="2"/>
        </w:numPr>
        <w:spacing w:after="60"/>
      </w:pPr>
      <w:r>
        <w:t xml:space="preserve">Reflection quality (rubric-scored) trending up release-over-release.</w:t>
      </w:r>
    </w:p>
    <w:p>
      <w:pPr>
        <w:pStyle w:val="Heading2"/>
      </w:pPr>
      <w:r>
        <w:t xml:space="preserve">12.3 Reliability &amp; Cost</w:t>
      </w:r>
    </w:p>
    <w:p>
      <w:pPr>
        <w:pStyle w:val="ListParagraph"/>
        <w:numPr>
          <w:ilvl w:val="0"/>
          <w:numId w:val="2"/>
        </w:numPr>
        <w:spacing w:after="60"/>
      </w:pPr>
      <w:r>
        <w:t xml:space="preserve">P95 latency for student-facing turns &lt; 4s; LMS embed &lt; 5s.</w:t>
      </w:r>
    </w:p>
    <w:p>
      <w:pPr>
        <w:pStyle w:val="ListParagraph"/>
        <w:numPr>
          <w:ilvl w:val="0"/>
          <w:numId w:val="2"/>
        </w:numPr>
        <w:spacing w:after="60"/>
      </w:pPr>
      <w:r>
        <w:t xml:space="preserve">Tool-call success ≥ 99%; uptime ≥ 99.9%.</w:t>
      </w:r>
    </w:p>
    <w:p>
      <w:pPr>
        <w:pStyle w:val="ListParagraph"/>
        <w:numPr>
          <w:ilvl w:val="0"/>
          <w:numId w:val="2"/>
        </w:numPr>
        <w:spacing w:after="60"/>
      </w:pPr>
      <w:r>
        <w:t xml:space="preserve">Cost per active learner per month tracked and trending down via model tiering.</w:t>
      </w:r>
    </w:p>
    <w:p>
      <w:r>
        <w:br w:type="page"/>
      </w:r>
    </w:p>
    <w:p>
      <w:pPr>
        <w:pStyle w:val="Heading1"/>
      </w:pPr>
      <w:r>
        <w:t xml:space="preserve">13. Indicative Investment Model</w:t>
      </w:r>
    </w:p>
    <w:p>
      <w:pPr>
        <w:spacing w:after="120"/>
      </w:pPr>
      <w:r>
        <w:t xml:space="preserve">Estimates are order-of-magnitude for a mid-sized U.S. institution (15–30k students). Final figures depend on scope, salary bands, vendor terms, and self-host vs. SaaS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rPr>
          <w:tblHeader/>
        </w:trPr>
        <w:tc>
          <w:tcPr>
            <w:tcW w:type="dxa" w:w="34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Cost Category</w:t>
            </w:r>
          </w:p>
        </w:tc>
        <w:tc>
          <w:tcPr>
            <w:tcW w:type="dxa" w:w="18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Year 1 (USD)</w:t>
            </w:r>
          </w:p>
        </w:tc>
        <w:tc>
          <w:tcPr>
            <w:tcW w:type="dxa" w:w="18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Year 2 (USD)</w:t>
            </w:r>
          </w:p>
        </w:tc>
        <w:tc>
          <w:tcPr>
            <w:tcW w:type="dxa" w:w="236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Notes</w:t>
            </w:r>
          </w:p>
        </w:tc>
      </w:tr>
      <w:tr>
        <w:tc>
          <w:tcPr>
            <w:tcW w:type="dxa" w:w="3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People (engineering, product, pedagogy, compliance)</w:t>
            </w:r>
          </w:p>
        </w:tc>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$3.5M – $4.5M</w:t>
            </w:r>
          </w:p>
        </w:tc>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$5.0M – $6.5M</w:t>
            </w:r>
          </w:p>
        </w:tc>
        <w:tc>
          <w:tcPr>
            <w:tcW w:type="dxa" w:w="23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Scales with surface and integration breadth.</w:t>
            </w:r>
          </w:p>
        </w:tc>
      </w:tr>
      <w:tr>
        <w:tc>
          <w:tcPr>
            <w:tcW w:type="dxa" w:w="34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Foundation model usage (Claude, tiered)</w:t>
            </w:r>
          </w:p>
        </w:tc>
        <w:tc>
          <w:tcPr>
            <w:tcW w:type="dxa" w:w="18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$300K – $700K</w:t>
            </w:r>
          </w:p>
        </w:tc>
        <w:tc>
          <w:tcPr>
            <w:tcW w:type="dxa" w:w="18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$700K – $1.5M</w:t>
            </w:r>
          </w:p>
        </w:tc>
        <w:tc>
          <w:tcPr>
            <w:tcW w:type="dxa" w:w="23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Tiering Opus/Sonnet/Haiku materially reduces unit cost.</w:t>
            </w:r>
          </w:p>
        </w:tc>
      </w:tr>
      <w:tr>
        <w:tc>
          <w:tcPr>
            <w:tcW w:type="dxa" w:w="3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Cloud infrastructure (AWS/Azure)</w:t>
            </w:r>
          </w:p>
        </w:tc>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$250K – $500K</w:t>
            </w:r>
          </w:p>
        </w:tc>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$500K – $900K</w:t>
            </w:r>
          </w:p>
        </w:tc>
        <w:tc>
          <w:tcPr>
            <w:tcW w:type="dxa" w:w="23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Includes Kubernetes, observability, vector store.</w:t>
            </w:r>
          </w:p>
        </w:tc>
      </w:tr>
      <w:tr>
        <w:tc>
          <w:tcPr>
            <w:tcW w:type="dxa" w:w="34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Third-party tools (Langfuse, identity, security, accessibility)</w:t>
            </w:r>
          </w:p>
        </w:tc>
        <w:tc>
          <w:tcPr>
            <w:tcW w:type="dxa" w:w="18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$150K – $300K</w:t>
            </w:r>
          </w:p>
        </w:tc>
        <w:tc>
          <w:tcPr>
            <w:tcW w:type="dxa" w:w="18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$200K – $400K</w:t>
            </w:r>
          </w:p>
        </w:tc>
        <w:tc>
          <w:tcPr>
            <w:tcW w:type="dxa" w:w="23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Includes SOC 2 audit by Year 2.</w:t>
            </w:r>
          </w:p>
        </w:tc>
      </w:tr>
      <w:tr>
        <w:tc>
          <w:tcPr>
            <w:tcW w:type="dxa" w:w="3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Faculty stipends and design partners</w:t>
            </w:r>
          </w:p>
        </w:tc>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$150K – $300K</w:t>
            </w:r>
          </w:p>
        </w:tc>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$200K – $400K</w:t>
            </w:r>
          </w:p>
        </w:tc>
        <w:tc>
          <w:tcPr>
            <w:tcW w:type="dxa" w:w="23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Compensated co-design cohort.</w:t>
            </w:r>
          </w:p>
        </w:tc>
      </w:tr>
      <w:tr>
        <w:tc>
          <w:tcPr>
            <w:tcW w:type="dxa" w:w="34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Change management and training</w:t>
            </w:r>
          </w:p>
        </w:tc>
        <w:tc>
          <w:tcPr>
            <w:tcW w:type="dxa" w:w="18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$100K – $250K</w:t>
            </w:r>
          </w:p>
        </w:tc>
        <w:tc>
          <w:tcPr>
            <w:tcW w:type="dxa" w:w="18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$150K – $300K</w:t>
            </w:r>
          </w:p>
        </w:tc>
        <w:tc>
          <w:tcPr>
            <w:tcW w:type="dxa" w:w="23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Critical for institution-wide adoption.</w:t>
            </w:r>
          </w:p>
        </w:tc>
      </w:tr>
      <w:tr>
        <w:tc>
          <w:tcPr>
            <w:tcW w:type="dxa" w:w="3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Total (range)</w:t>
            </w:r>
          </w:p>
        </w:tc>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$4.5M – $6.5M</w:t>
            </w:r>
          </w:p>
        </w:tc>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$6.7M – $10.0M</w:t>
            </w:r>
          </w:p>
        </w:tc>
        <w:tc>
          <w:tcPr>
            <w:tcW w:type="dxa" w:w="23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Indicative; refine in detailed PMO plan.</w:t>
            </w:r>
          </w:p>
        </w:tc>
      </w:tr>
    </w:tbl>
    <w:p>
      <w:r>
        <w:br w:type="page"/>
      </w:r>
    </w:p>
    <w:p>
      <w:pPr>
        <w:pStyle w:val="Heading1"/>
      </w:pPr>
      <w:r>
        <w:t xml:space="preserve">14.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rPr>
          <w:tblHeader/>
        </w:trPr>
        <w:tc>
          <w:tcPr>
            <w:tcW w:type="dxa" w:w="32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Risk</w:t>
            </w:r>
          </w:p>
        </w:tc>
        <w:tc>
          <w:tcPr>
            <w:tcW w:type="dxa" w:w="14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Likelihood</w:t>
            </w:r>
          </w:p>
        </w:tc>
        <w:tc>
          <w:tcPr>
            <w:tcW w:type="dxa" w:w="140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Impact</w:t>
            </w:r>
          </w:p>
        </w:tc>
        <w:tc>
          <w:tcPr>
            <w:tcW w:type="dxa" w:w="3360"/>
            <w:tcBorders>
              <w:top w:val="single" w:color="CCCCCC" w:sz="4"/>
              <w:left w:val="single" w:color="CCCCCC" w:sz="4"/>
              <w:bottom w:val="single" w:color="CCCCCC" w:sz="4"/>
              <w:right w:val="single" w:color="CCCCCC" w:sz="4"/>
            </w:tcBorders>
            <w:shd w:fill="1F3A93" w:val="clear"/>
            <w:tcMar>
              <w:top w:type="dxa" w:w="90"/>
              <w:left w:type="dxa" w:w="140"/>
              <w:bottom w:type="dxa" w:w="90"/>
              <w:right w:type="dxa" w:w="140"/>
            </w:tcMar>
          </w:tcPr>
          <w:p>
            <w:r>
              <w:rPr>
                <w:b/>
                <w:bCs/>
                <w:color w:val="FFFFFF"/>
                <w:sz w:val="22"/>
                <w:szCs w:val="22"/>
              </w:rPr>
              <w:t xml:space="preserve">Mitigation</w:t>
            </w:r>
          </w:p>
        </w:tc>
      </w:tr>
      <w:tr>
        <w:tc>
          <w:tcPr>
            <w:tcW w:type="dxa" w:w="3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Faculty perceive EduClaw as bypass tool</w:t>
            </w:r>
          </w:p>
        </w:tc>
        <w:tc>
          <w:tcPr>
            <w:tcW w:type="dxa" w:w="1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Medium</w:t>
            </w:r>
          </w:p>
        </w:tc>
        <w:tc>
          <w:tcPr>
            <w:tcW w:type="dxa" w:w="1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High</w:t>
            </w:r>
          </w:p>
        </w:tc>
        <w:tc>
          <w:tcPr>
            <w:tcW w:type="dxa" w:w="33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Faculty co-design cohort; per-assignment Validation policies; transparent integrity reporting.</w:t>
            </w:r>
          </w:p>
        </w:tc>
      </w:tr>
      <w:tr>
        <w:tc>
          <w:tcPr>
            <w:tcW w:type="dxa" w:w="32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Student over-reliance erodes capability</w:t>
            </w:r>
          </w:p>
        </w:tc>
        <w:tc>
          <w:tcPr>
            <w:tcW w:type="dxa" w:w="14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Medium</w:t>
            </w:r>
          </w:p>
        </w:tc>
        <w:tc>
          <w:tcPr>
            <w:tcW w:type="dxa" w:w="14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High</w:t>
            </w:r>
          </w:p>
        </w:tc>
        <w:tc>
          <w:tcPr>
            <w:tcW w:type="dxa" w:w="33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Reflection Agent and Validation guardrails; metrics on capability lift, not just usage.</w:t>
            </w:r>
          </w:p>
        </w:tc>
      </w:tr>
      <w:tr>
        <w:tc>
          <w:tcPr>
            <w:tcW w:type="dxa" w:w="3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FERPA / privacy incident</w:t>
            </w:r>
          </w:p>
        </w:tc>
        <w:tc>
          <w:tcPr>
            <w:tcW w:type="dxa" w:w="1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Low</w:t>
            </w:r>
          </w:p>
        </w:tc>
        <w:tc>
          <w:tcPr>
            <w:tcW w:type="dxa" w:w="1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Very High</w:t>
            </w:r>
          </w:p>
        </w:tc>
        <w:tc>
          <w:tcPr>
            <w:tcW w:type="dxa" w:w="33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Strict scope guards; consent ledger; quarterly external audit; breach playbook.</w:t>
            </w:r>
          </w:p>
        </w:tc>
      </w:tr>
      <w:tr>
        <w:tc>
          <w:tcPr>
            <w:tcW w:type="dxa" w:w="32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LMS API changes break integrations</w:t>
            </w:r>
          </w:p>
        </w:tc>
        <w:tc>
          <w:tcPr>
            <w:tcW w:type="dxa" w:w="14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Medium</w:t>
            </w:r>
          </w:p>
        </w:tc>
        <w:tc>
          <w:tcPr>
            <w:tcW w:type="dxa" w:w="14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Medium</w:t>
            </w:r>
          </w:p>
        </w:tc>
        <w:tc>
          <w:tcPr>
            <w:tcW w:type="dxa" w:w="33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MCP adapter pattern; versioned contracts; vendor escalation paths.</w:t>
            </w:r>
          </w:p>
        </w:tc>
      </w:tr>
      <w:tr>
        <w:tc>
          <w:tcPr>
            <w:tcW w:type="dxa" w:w="3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Hallucination on academic content</w:t>
            </w:r>
          </w:p>
        </w:tc>
        <w:tc>
          <w:tcPr>
            <w:tcW w:type="dxa" w:w="1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Medium</w:t>
            </w:r>
          </w:p>
        </w:tc>
        <w:tc>
          <w:tcPr>
            <w:tcW w:type="dxa" w:w="1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High</w:t>
            </w:r>
          </w:p>
        </w:tc>
        <w:tc>
          <w:tcPr>
            <w:tcW w:type="dxa" w:w="33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Source-grounded Execution; Validation Agent fact-check; citation requirement.</w:t>
            </w:r>
          </w:p>
        </w:tc>
      </w:tr>
      <w:tr>
        <w:tc>
          <w:tcPr>
            <w:tcW w:type="dxa" w:w="32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Cost overrun via untiered model usage</w:t>
            </w:r>
          </w:p>
        </w:tc>
        <w:tc>
          <w:tcPr>
            <w:tcW w:type="dxa" w:w="14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Medium</w:t>
            </w:r>
          </w:p>
        </w:tc>
        <w:tc>
          <w:tcPr>
            <w:tcW w:type="dxa" w:w="14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Medium</w:t>
            </w:r>
          </w:p>
        </w:tc>
        <w:tc>
          <w:tcPr>
            <w:tcW w:type="dxa" w:w="33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Strict model tiering; routing to Haiku for triage; cost dashboards per agent.</w:t>
            </w:r>
          </w:p>
        </w:tc>
      </w:tr>
      <w:tr>
        <w:tc>
          <w:tcPr>
            <w:tcW w:type="dxa" w:w="3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Equity and accessibility gaps</w:t>
            </w:r>
          </w:p>
        </w:tc>
        <w:tc>
          <w:tcPr>
            <w:tcW w:type="dxa" w:w="1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Medium</w:t>
            </w:r>
          </w:p>
        </w:tc>
        <w:tc>
          <w:tcPr>
            <w:tcW w:type="dxa" w:w="1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High</w:t>
            </w:r>
          </w:p>
        </w:tc>
        <w:tc>
          <w:tcPr>
            <w:tcW w:type="dxa" w:w="33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sz w:val="20"/>
                <w:szCs w:val="20"/>
              </w:rPr>
              <w:t xml:space="preserve">WCAG 2.2 AA from day one; equity-stratified evals; translation and reading-level adaptation.</w:t>
            </w:r>
          </w:p>
        </w:tc>
      </w:tr>
      <w:tr>
        <w:tc>
          <w:tcPr>
            <w:tcW w:type="dxa" w:w="32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Change-management drag</w:t>
            </w:r>
          </w:p>
        </w:tc>
        <w:tc>
          <w:tcPr>
            <w:tcW w:type="dxa" w:w="14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High</w:t>
            </w:r>
          </w:p>
        </w:tc>
        <w:tc>
          <w:tcPr>
            <w:tcW w:type="dxa" w:w="140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Medium</w:t>
            </w:r>
          </w:p>
        </w:tc>
        <w:tc>
          <w:tcPr>
            <w:tcW w:type="dxa" w:w="3360"/>
            <w:tcBorders>
              <w:top w:val="single" w:color="CCCCCC" w:sz="4"/>
              <w:left w:val="single" w:color="CCCCCC" w:sz="4"/>
              <w:bottom w:val="single" w:color="CCCCCC" w:sz="4"/>
              <w:right w:val="single" w:color="CCCCCC" w:sz="4"/>
            </w:tcBorders>
            <w:shd w:fill="F4F6F8" w:val="clear"/>
            <w:tcMar>
              <w:top w:type="dxa" w:w="90"/>
              <w:left w:type="dxa" w:w="140"/>
              <w:bottom w:type="dxa" w:w="90"/>
              <w:right w:type="dxa" w:w="140"/>
            </w:tcMar>
          </w:tcPr>
          <w:p>
            <w:r>
              <w:rPr>
                <w:sz w:val="20"/>
                <w:szCs w:val="20"/>
              </w:rPr>
              <w:t xml:space="preserve">Dedicated change function; opt-in pilots; visible faculty wins; student-led ambassadors.</w:t>
            </w:r>
          </w:p>
        </w:tc>
      </w:tr>
    </w:tbl>
    <w:p>
      <w:r>
        <w:br w:type="page"/>
      </w:r>
    </w:p>
    <w:p>
      <w:pPr>
        <w:pStyle w:val="Heading1"/>
      </w:pPr>
      <w:r>
        <w:t xml:space="preserve">15. Why EduClaw Matters</w:t>
      </w:r>
    </w:p>
    <w:p>
      <w:pPr>
        <w:spacing w:after="120"/>
      </w:pPr>
      <w:r>
        <w:t xml:space="preserve">Done well, EduClaw is more than a product — it is a stance on what AI should do in higher education. It improves learning outcomes by making support pedagogically aligned. It prepares students for AI-native careers by teaching judgment, questioning, and problem framing. It increases institutional efficiency by extending support 24/7 across all student services. And it differentiates the institution as an AI leader in the space where it matters most: human capability.</w:t>
      </w:r>
    </w:p>
    <w:p>
      <w:pPr>
        <w:pStyle w:val="Heading2"/>
      </w:pPr>
      <w:r>
        <w:t xml:space="preserve">15.1 Immediate Next Steps (Next 30 Days)</w:t>
      </w:r>
    </w:p>
    <w:p>
      <w:pPr>
        <w:pStyle w:val="ListParagraph"/>
        <w:numPr>
          <w:ilvl w:val="0"/>
          <w:numId w:val="3"/>
        </w:numPr>
        <w:spacing w:after="60"/>
      </w:pPr>
      <w:r>
        <w:t xml:space="preserve">Confirm executive sponsor, steering committee, and faculty design partner cohort.</w:t>
      </w:r>
    </w:p>
    <w:p>
      <w:pPr>
        <w:pStyle w:val="ListParagraph"/>
        <w:numPr>
          <w:ilvl w:val="0"/>
          <w:numId w:val="3"/>
        </w:numPr>
        <w:spacing w:after="60"/>
      </w:pPr>
      <w:r>
        <w:t xml:space="preserve">Stand up the Foundation environment: cloud accounts, identity, observability, eval harness baseline.</w:t>
      </w:r>
    </w:p>
    <w:p>
      <w:pPr>
        <w:pStyle w:val="ListParagraph"/>
        <w:numPr>
          <w:ilvl w:val="0"/>
          <w:numId w:val="3"/>
        </w:numPr>
        <w:spacing w:after="60"/>
      </w:pPr>
      <w:r>
        <w:t xml:space="preserve">Select pilot LMS (Canvas recommended) and 1–3 pilot courses.</w:t>
      </w:r>
    </w:p>
    <w:p>
      <w:pPr>
        <w:pStyle w:val="ListParagraph"/>
        <w:numPr>
          <w:ilvl w:val="0"/>
          <w:numId w:val="3"/>
        </w:numPr>
        <w:spacing w:after="60"/>
      </w:pPr>
      <w:r>
        <w:t xml:space="preserve">Author the first Validation Policy with pilot faculty.</w:t>
      </w:r>
    </w:p>
    <w:p>
      <w:pPr>
        <w:pStyle w:val="ListParagraph"/>
        <w:numPr>
          <w:ilvl w:val="0"/>
          <w:numId w:val="3"/>
        </w:numPr>
        <w:spacing w:after="60"/>
      </w:pPr>
      <w:r>
        <w:t xml:space="preserve">Kick off the Phase 2 build with a vertical slice: Inference + Dialogue + Execution on the pilot courses.</w:t>
      </w:r>
    </w:p>
    <w:p>
      <w:pPr>
        <w:pStyle w:val="Heading2"/>
      </w:pPr>
      <w:r>
        <w:t xml:space="preserve">15.2 First 90 Days</w:t>
      </w:r>
    </w:p>
    <w:p>
      <w:pPr>
        <w:pStyle w:val="ListParagraph"/>
        <w:numPr>
          <w:ilvl w:val="0"/>
          <w:numId w:val="3"/>
        </w:numPr>
        <w:spacing w:after="60"/>
      </w:pPr>
      <w:r>
        <w:t xml:space="preserve">Ship a private alpha of the Web portal companion to pilot students.</w:t>
      </w:r>
    </w:p>
    <w:p>
      <w:pPr>
        <w:pStyle w:val="ListParagraph"/>
        <w:numPr>
          <w:ilvl w:val="0"/>
          <w:numId w:val="3"/>
        </w:numPr>
        <w:spacing w:after="60"/>
      </w:pPr>
      <w:r>
        <w:t xml:space="preserve">Stand up Validation Agent v1 and faculty review console.</w:t>
      </w:r>
    </w:p>
    <w:p>
      <w:pPr>
        <w:pStyle w:val="ListParagraph"/>
        <w:numPr>
          <w:ilvl w:val="0"/>
          <w:numId w:val="3"/>
        </w:numPr>
        <w:spacing w:after="60"/>
      </w:pPr>
      <w:r>
        <w:t xml:space="preserve">Run the first end-to-end eval suite and publish a baseline report.</w:t>
      </w:r>
    </w:p>
    <w:p>
      <w:pPr>
        <w:pStyle w:val="ListParagraph"/>
        <w:numPr>
          <w:ilvl w:val="0"/>
          <w:numId w:val="3"/>
        </w:numPr>
        <w:spacing w:after="60"/>
      </w:pPr>
      <w:r>
        <w:t xml:space="preserve">Begin LMS embed engineering for Canvas; design specs for Mobile.</w:t>
      </w:r>
    </w:p>
    <w:p>
      <w:pPr>
        <w:pStyle w:val="ListParagraph"/>
        <w:numPr>
          <w:ilvl w:val="0"/>
          <w:numId w:val="3"/>
        </w:numPr>
        <w:spacing w:after="60"/>
      </w:pPr>
      <w:r>
        <w:t xml:space="preserve">Publish the Trust &amp; Safety brief — FERPA stance, integrity stance, AI stance — to the campus community.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AF2FB" w:val="clear"/>
            <w:tcMar>
              <w:top w:type="dxa" w:w="160"/>
              <w:left w:type="dxa" w:w="200"/>
              <w:bottom w:type="dxa" w:w="160"/>
              <w:right w:type="dxa" w:w="200"/>
            </w:tcMar>
          </w:tcPr>
          <w:p>
            <w:pPr>
              <w:spacing w:after="80"/>
            </w:pPr>
            <w:r>
              <w:rPr>
                <w:b/>
                <w:bCs/>
                <w:color w:val="1F3A93"/>
                <w:sz w:val="22"/>
                <w:szCs w:val="22"/>
              </w:rPr>
              <w:t xml:space="preserve">Closing Thought</w:t>
            </w:r>
          </w:p>
          <w:p>
            <w:r>
              <w:rPr>
                <w:sz w:val="22"/>
                <w:szCs w:val="22"/>
              </w:rPr>
              <w:t xml:space="preserve">If higher education continues to deploy AI as a shortcut tool, we risk accelerating completion while weakening learning. If we design AI systems like EduClaw, we redefine learning for the AI era — moving from AI as an answer engine to AI as a learning companion system.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5555"/>
        <w:sz w:val="18"/>
        <w:szCs w:val="18"/>
      </w:rPr>
      <w:t xml:space="preserve">Confidential — Build Plan v1.0</w:t>
    </w:r>
    <w:r>
      <w:rPr>
        <w:color w:val="555555"/>
        <w:sz w:val="18"/>
        <w:szCs w:val="18"/>
      </w:rPr>
      <w:t xml:space="preserve">	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A93"/>
        <w:sz w:val="18"/>
        <w:szCs w:val="18"/>
      </w:rPr>
      <w:t xml:space="preserve">EduClaw  </w:t>
    </w:r>
    <w:r>
      <w:rPr>
        <w:color w:val="555555"/>
        <w:sz w:val="18"/>
        <w:szCs w:val="18"/>
      </w:rPr>
      <w:t xml:space="preserve">AI Agent Design Framework for Higher Education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93"/>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2D9CDB"/>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EduClaw — AI Agent Design Framework for Higher Education: Complete Build Plan</dc:title>
  <dc:creator>EduClaw Build Team</dc:creator>
  <dc:description>Complete plan to build EduClaw across all 6 design patterns and institutional surfaces.</dc:description>
  <cp:lastModifiedBy>Un-named</cp:lastModifiedBy>
  <cp:revision>1</cp:revision>
  <dcterms:created xsi:type="dcterms:W3CDTF">2026-05-03T18:45:16.154Z</dcterms:created>
  <dcterms:modified xsi:type="dcterms:W3CDTF">2026-05-03T18:45:16.154Z</dcterms:modified>
</cp:coreProperties>
</file>

<file path=docProps/custom.xml><?xml version="1.0" encoding="utf-8"?>
<Properties xmlns="http://schemas.openxmlformats.org/officeDocument/2006/custom-properties" xmlns:vt="http://schemas.openxmlformats.org/officeDocument/2006/docPropsVTypes"/>
</file>