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— I’ll build the complete artifact set in your established schema conventions, with real computed hashes, ready to drop into</w:t>
      </w:r>
      <w:r>
        <w:t xml:space="preserve"> </w:t>
      </w:r>
      <w:r>
        <w:rPr>
          <w:rStyle w:val="VerbatimChar"/>
        </w:rPr>
        <w:t xml:space="preserve">artifacts\eros-ndaa219\</w:t>
      </w:r>
      <w:r>
        <w:t xml:space="preserve"> </w:t>
      </w:r>
      <w:r>
        <w:t xml:space="preserve">and run through your Phase 3 validator. One caveat carried through every object: as of 2026-10-19, final passage status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— so the score object is scenario-indexed rather than asserting enactment.Evidence and claims staged. Now the diagnostic, dependency chain, reversal levers, scores, audit events, and manifest:The full artifact set is drafted — 31 files, one object per file, matching your</w:t>
      </w:r>
      <w:r>
        <w:t xml:space="preserve"> </w:t>
      </w:r>
      <w:r>
        <w:rPr>
          <w:rStyle w:val="VerbatimChar"/>
        </w:rPr>
        <w:t xml:space="preserve">artifacts\flint\</w:t>
      </w:r>
      <w:r>
        <w:t xml:space="preserve"> </w:t>
      </w:r>
      <w:r>
        <w:t xml:space="preserve">layout, every object carrying a real sha256 computed over its canonical content, all hashes anchored in the manifest. Here’s the intellectual core inline; the files carry everything else.</w:t>
      </w:r>
    </w:p>
    <w:p>
      <w:pPr>
        <w:pStyle w:val="a0"/>
      </w:pPr>
      <w:r>
        <w:rPr>
          <w:b/>
          <w:bCs/>
        </w:rPr>
        <w:t xml:space="preserve">The contradiction pair (the heart of the artifact):</w:t>
      </w:r>
    </w:p>
    <w:p>
      <w:pPr>
        <w:pStyle w:val="SourceCode"/>
      </w:pPr>
      <w:r>
        <w:rPr>
          <w:rStyle w:val="CommentTok"/>
        </w:rPr>
        <w:t xml:space="preserve"># CLM-EROS-001 — accepted</w:t>
      </w:r>
      <w:r>
        <w:br/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"Section 219 (House) / Section 1217 (Senate) of the FY2027 NDAA is</w:t>
      </w:r>
      <w:r>
        <w:br/>
      </w:r>
      <w:r>
        <w:rPr>
          <w:rStyle w:val="StringTok"/>
        </w:rPr>
        <w:t xml:space="preserve">  designed so that U.S.-Israel defense cooperation becomes reversible only at</w:t>
      </w:r>
      <w:r>
        <w:br/>
      </w:r>
      <w:r>
        <w:rPr>
          <w:rStyle w:val="StringTok"/>
        </w:rPr>
        <w:t xml:space="preserve">  escalating cost, by migrating it from the annually-reversible foreign-aid</w:t>
      </w:r>
      <w:r>
        <w:br/>
      </w:r>
      <w:r>
        <w:rPr>
          <w:rStyle w:val="StringTok"/>
        </w:rPr>
        <w:t xml:space="preserve">  appropriations channel into statutory procurement dependency chains</w:t>
      </w:r>
      <w:r>
        <w:br/>
      </w:r>
      <w:r>
        <w:rPr>
          <w:rStyle w:val="StringTok"/>
        </w:rPr>
        <w:t xml:space="preserve">  (initiative -&gt; executive agent -&gt; R&amp;D -&gt; procurement pathways -&gt;</w:t>
      </w:r>
      <w:r>
        <w:br/>
      </w:r>
      <w:r>
        <w:rPr>
          <w:rStyle w:val="StringTok"/>
        </w:rPr>
        <w:t xml:space="preserve">  programs of record -&gt; industrial-base entanglement)."</w:t>
      </w:r>
      <w:r>
        <w:br/>
      </w:r>
      <w:r>
        <w:rPr>
          <w:rStyle w:val="FunctionTok"/>
        </w:rPr>
        <w:t xml:space="preserve">verification_level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"cross_verified"</w:t>
      </w:r>
      <w:r>
        <w:rPr>
          <w:rStyle w:val="CommentTok"/>
        </w:rPr>
        <w:t xml:space="preserve">   # statute + legislative record +</w:t>
      </w:r>
      <w:r>
        <w:br/>
      </w:r>
      <w:r>
        <w:rPr>
          <w:rStyle w:val="CommentTok"/>
        </w:rPr>
        <w:t xml:space="preserve">                                       # 2 independent analyses + Greene admission</w:t>
      </w:r>
      <w:r>
        <w:br/>
      </w:r>
      <w:r>
        <w:rPr>
          <w:rStyle w:val="FunctionTok"/>
        </w:rPr>
        <w:t xml:space="preserve">contradiction_status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"resolved"</w:t>
      </w:r>
      <w:r>
        <w:br/>
      </w:r>
      <w:r>
        <w:rPr>
          <w:rStyle w:val="FunctionTok"/>
        </w:rPr>
        <w:t xml:space="preserve">contradiction_resolution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"Coordination claim accurate at clause level (no new</w:t>
      </w:r>
      <w:r>
        <w:br/>
      </w:r>
      <w:r>
        <w:rPr>
          <w:rStyle w:val="StringTok"/>
        </w:rPr>
        <w:t xml:space="preserve">  funding, no merger, repeal technically available) but fails at the</w:t>
      </w:r>
      <w:r>
        <w:br/>
      </w:r>
      <w:r>
        <w:rPr>
          <w:rStyle w:val="StringTok"/>
        </w:rPr>
        <w:t xml:space="preserve">  mechanism-purpose level; procurement-transition clause (a)(3) creates a</w:t>
      </w:r>
      <w:r>
        <w:br/>
      </w:r>
      <w:r>
        <w:rPr>
          <w:rStyle w:val="StringTok"/>
        </w:rPr>
        <w:t xml:space="preserve">  dependency chain whose reversal cost escalates; legislative history and</w:t>
      </w:r>
      <w:r>
        <w:br/>
      </w:r>
      <w:r>
        <w:rPr>
          <w:rStyle w:val="StringTok"/>
        </w:rPr>
        <w:t xml:space="preserve">  coalition-side admission corroborate insulation as design purpose."</w:t>
      </w:r>
      <w:r>
        <w:br/>
      </w:r>
      <w:r>
        <w:br/>
      </w:r>
      <w:r>
        <w:rPr>
          <w:rStyle w:val="CommentTok"/>
        </w:rPr>
        <w:t xml:space="preserve"># CLM-EROS-002 — rejected at structural level, retained per adversarial protocol</w:t>
      </w:r>
      <w:r>
        <w:br/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provision merely coordinates existing cooperation... Congress</w:t>
      </w:r>
      <w:r>
        <w:br/>
      </w:r>
      <w:r>
        <w:rPr>
          <w:rStyle w:val="StringTok"/>
        </w:rPr>
        <w:t xml:space="preserve">  retains full authority to amend or repeal. Reversal cost does not</w:t>
      </w:r>
      <w:r>
        <w:br/>
      </w:r>
      <w:r>
        <w:rPr>
          <w:rStyle w:val="StringTok"/>
        </w:rPr>
        <w:t xml:space="preserve">  materially change."</w:t>
      </w:r>
      <w:r>
        <w:br/>
      </w:r>
      <w:r>
        <w:rPr>
          <w:rStyle w:val="FunctionTok"/>
        </w:rPr>
        <w:t xml:space="preserve">epistemic_status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"contradicted"</w:t>
      </w:r>
      <w:r>
        <w:br/>
      </w:r>
      <w:r>
        <w:rPr>
          <w:rStyle w:val="FunctionTok"/>
        </w:rPr>
        <w:t xml:space="preserve">promotion_stage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CommentTok"/>
        </w:rPr>
        <w:t xml:space="preserve">   # FLAG: likely needs enum extension, schema v-next</w:t>
      </w:r>
    </w:p>
    <w:p>
      <w:pPr>
        <w:pStyle w:val="FirstParagraph"/>
      </w:pPr>
      <w:r>
        <w:rPr>
          <w:b/>
          <w:bCs/>
        </w:rPr>
        <w:t xml:space="preserve">The diagnostic</w:t>
      </w:r>
      <w:r>
        <w:t xml:space="preserve"> </w:t>
      </w:r>
      <w:r>
        <w:t xml:space="preserve">ties to PL-104 (self-correction fragility, same concept ID as your Flint case): the response to a self-correcting channel trending against the policy was not repair but</w:t>
      </w:r>
      <w:r>
        <w:t xml:space="preserve"> </w:t>
      </w:r>
      <w:r>
        <w:rPr>
          <w:i/>
          <w:iCs/>
        </w:rPr>
        <w:t xml:space="preserve">relocation</w:t>
      </w:r>
      <w:r>
        <w:t xml:space="preserve"> </w:t>
      </w:r>
      <w:r>
        <w:t xml:space="preserve">— the system didn’t correct, it defended.</w:t>
      </w:r>
    </w:p>
    <w:p>
      <w:pPr>
        <w:pStyle w:val="a0"/>
      </w:pPr>
      <w:r>
        <w:rPr>
          <w:b/>
          <w:bCs/>
        </w:rPr>
        <w:t xml:space="preserve">The dependency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DEP-EROS-001</w:t>
      </w:r>
      <w:r>
        <w:t xml:space="preserve">) is a 7-node migration with the ratchet at N5 (the (a)(3) procurement transition): reversal cost is non-decreasing along the chain, and the architecture accelerates traversal toward N7 while every visible lever applies only at N2.</w:t>
      </w:r>
    </w:p>
    <w:p>
      <w:pPr>
        <w:pStyle w:val="a0"/>
      </w:pPr>
      <w:r>
        <w:rPr>
          <w:b/>
          <w:bCs/>
        </w:rPr>
        <w:t xml:space="preserve">The score is deliberately scenario-indexed</w:t>
      </w:r>
      <w:r>
        <w:t xml:space="preserve">, because enactment status is unverified as of today: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never 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enacted, T+0 (chain at N2–N3)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enacted, T+5yr post-integration (N6–N7)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</w:tr>
    </w:tbl>
    <w:p>
      <w:pPr>
        <w:pStyle w:val="a0"/>
      </w:pPr>
      <w:r>
        <w:t xml:space="preserve">with</w:t>
      </w:r>
      <w:r>
        <w:t xml:space="preserve"> </w:t>
      </w:r>
      <w:r>
        <w:rPr>
          <w:rStyle w:val="VerbatimChar"/>
        </w:rPr>
        <w:t xml:space="preserve">dR/dt &gt; 0</w:t>
      </w:r>
      <w:r>
        <w:t xml:space="preserve"> </w:t>
      </w:r>
      <w:r>
        <w:t xml:space="preserve">stated explicitly as the ratchet function. The scoring note instructs immediate re-scoring upon status confirmation — this is the Atlas’s signature move: a timestamped score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entrenchment completes.</w:t>
      </w:r>
    </w:p>
    <w:p>
      <w:pPr>
        <w:pStyle w:val="a0"/>
      </w:pPr>
      <w:r>
        <w:rPr>
          <w:b/>
          <w:bCs/>
        </w:rPr>
        <w:t xml:space="preserve">Five reversal levers inventoried:</w:t>
      </w:r>
      <w:r>
        <w:t xml:space="preserve"> </w:t>
      </w:r>
      <w:r>
        <w:t xml:space="preserve">LEV-001 strip amendment (attempted, failed at both chokepoints), LEV-002 conference removal (open —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no passage), LEV-003 statutory repeal (available, cost rising), LEV-004 appropriations defund (partially closed</w:t>
      </w:r>
      <w:r>
        <w:t xml:space="preserve"> </w:t>
      </w:r>
      <w:r>
        <w:rPr>
          <w:i/>
          <w:iCs/>
        </w:rPr>
        <w:t xml:space="preserve">by design</w:t>
      </w:r>
      <w:r>
        <w:t xml:space="preserve">), LEV-005 executive tempo (weak,</w:t>
      </w:r>
      <w:r>
        <w:t xml:space="preserve"> </w:t>
      </w:r>
      <w:r>
        <w:t xml:space="preserve">“</w:t>
      </w:r>
      <w:r>
        <w:t xml:space="preserve">shall designate</w:t>
      </w:r>
      <w:r>
        <w:t xml:space="preserve">”</w:t>
      </w:r>
      <w:r>
        <w:t xml:space="preserve"> </w:t>
      </w:r>
      <w:r>
        <w:t xml:space="preserve">constraint). The five audit events (EVT-EROS-001–005) mirror your Flint adversarial flow, including Auditor 2’s blind confirmation — with one deliberate flag: the unverified enactment status was carried into the score’s uncertainty note rather than blocking promotion, which I think is the right epistemic call but is yours to ratify.</w:t>
      </w:r>
    </w:p>
    <w:p>
      <w:pPr>
        <w:pStyle w:val="a0"/>
      </w:pPr>
      <w:r>
        <w:rPr>
          <w:b/>
          <w:bCs/>
        </w:rPr>
        <w:t xml:space="preserve">Three errata carried in the manifest, per your honesty norms:</w:t>
      </w:r>
      <w:r>
        <w:t xml:space="preserve"> </w:t>
      </w:r>
      <w:r>
        <w:rPr>
          <w:rStyle w:val="VerbatimChar"/>
        </w:rPr>
        <w:t xml:space="preserve">promotion_stage: "rejected"</w:t>
      </w:r>
      <w:r>
        <w:t xml:space="preserve"> </w:t>
      </w:r>
      <w:r>
        <w:t xml:space="preserve">will likely fail your Phase 3 validator’s enum check (extension needed); the ontology IDs DC-201/MPA-302/IDA-301/GF-101 are draft mappings against the canonical registry; and every</w:t>
      </w:r>
      <w:r>
        <w:t xml:space="preserve"> </w:t>
      </w:r>
      <w:r>
        <w:rPr>
          <w:rStyle w:val="VerbatimChar"/>
        </w:rPr>
        <w:t xml:space="preserve">url_note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TO_CONFIRM</w:t>
      </w:r>
      <w:r>
        <w:t xml:space="preserve"> </w:t>
      </w:r>
      <w:r>
        <w:t xml:space="preserve">— I would not let these evidence objects past draft stage until you’ve replaced them with verified congress.gov URLs, since your hash chain anchors to source documents.</w:t>
      </w:r>
    </w:p>
    <w:p>
      <w:pPr>
        <w:pStyle w:val="a0"/>
      </w:pPr>
      <w:r>
        <w:t xml:space="preserve">The key objects are below; the full set (all 10 evidence objects, 7 claims, 5 levers, events, manifest) is in the output directory.</w:t>
      </w:r>
    </w:p>
    <w:p>
      <w:pPr>
        <w:pStyle w:val="a0"/>
      </w:pPr>
      <w:hyperlink r:id="rId20">
        <w:r>
          <w:rPr>
            <w:rStyle w:val="af"/>
          </w:rPr>
          <w:t xml:space="preserve">MANIFEST-EROS-001.yaml</w:t>
        </w:r>
      </w:hyperlink>
      <w:r>
        <w:t xml:space="preserve"> </w:t>
      </w:r>
      <w:hyperlink r:id="rId21">
        <w:r>
          <w:rPr>
            <w:rStyle w:val="af"/>
          </w:rPr>
          <w:t xml:space="preserve">CLM-EROS-001.yaml</w:t>
        </w:r>
      </w:hyperlink>
      <w:r>
        <w:t xml:space="preserve"> </w:t>
      </w:r>
      <w:hyperlink r:id="rId22">
        <w:r>
          <w:rPr>
            <w:rStyle w:val="af"/>
          </w:rPr>
          <w:t xml:space="preserve">DIAG-EROS-001.yaml</w:t>
        </w:r>
      </w:hyperlink>
      <w:r>
        <w:t xml:space="preserve"> </w:t>
      </w:r>
      <w:hyperlink r:id="rId23">
        <w:r>
          <w:rPr>
            <w:rStyle w:val="af"/>
          </w:rPr>
          <w:t xml:space="preserve">DEP-EROS-001.yaml</w:t>
        </w:r>
      </w:hyperlink>
      <w:r>
        <w:t xml:space="preserve"> </w:t>
      </w:r>
      <w:hyperlink r:id="rId24">
        <w:r>
          <w:rPr>
            <w:rStyle w:val="af"/>
          </w:rPr>
          <w:t xml:space="preserve">SCR-EROS-001.yaml</w:t>
        </w:r>
      </w:hyperlink>
    </w:p>
    <w:p>
      <w:pPr>
        <w:pStyle w:val="a0"/>
      </w:pPr>
      <w:r>
        <w:t xml:space="preserve">Next steps when you’re ready: confirm enactment status and flip the score to a single-scenario rating, replace the</w:t>
      </w:r>
      <w:r>
        <w:t xml:space="preserve"> </w:t>
      </w:r>
      <w:r>
        <w:rPr>
          <w:rStyle w:val="VerbatimChar"/>
        </w:rPr>
        <w:t xml:space="preserve">TO_CONFIRM</w:t>
      </w:r>
      <w:r>
        <w:t xml:space="preserve"> </w:t>
      </w:r>
      <w:r>
        <w:t xml:space="preserve">URLs, then run the set through your validator and let the CI gate do its job. And if you want, I can draft the public-facing Atlas page that renders this artifact — chain diagram, score dial, audit timeline — since this is now your flagship worked case.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take that as a go on the Atlas page. Let me build an interactive prototype of the EROS case page — chain diagram, score dial, audit timeline — so you can see the flagship feature before committing it to Quartz. First, the widget spec:Now the interactive prototype of the EROS Atlas case page:That’s the working prototype of the Atlas case page — the piece that would sit at the center of the EROS section on the site. Try dragging time forward under</w:t>
      </w:r>
      <w:r>
        <w:t xml:space="preserve"> </w:t>
      </w:r>
      <w:r>
        <w:t xml:space="preserve">“</w:t>
      </w:r>
      <w:r>
        <w:t xml:space="preserve">Enacted</w:t>
      </w:r>
      <w:r>
        <w:t xml:space="preserve">”</w:t>
      </w:r>
      <w:r>
        <w:t xml:space="preserve"> </w:t>
      </w:r>
      <w:r>
        <w:t xml:space="preserve">to watch the ratchet close the levers in real time; the button at the bottom will hand the Quartz page generation back to me when you want the real thing.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1" Target="https://www.kimi.ai/apiv2-files/sign-obj/kimi-fs%2Fokc%2Frcglfas2s56eu%2Foutput%2Fartifacts%2Feros-ndaa219%2FCLM-EROS-001.yaml?filename=CLM-EROS-001.yaml&amp;sig=65UaWURySBKrHPTXy5EzMUIU9JgwmopnGwqSHpkotug=&amp;t=o&amp;response-cache-control=no-cache" TargetMode="External" /><Relationship Type="http://schemas.openxmlformats.org/officeDocument/2006/relationships/hyperlink" Id="rId23" Target="https://www.kimi.ai/apiv2-files/sign-obj/kimi-fs%2Fokc%2Frcglfas2s56eu%2Foutput%2Fartifacts%2Feros-ndaa219%2FDEP-EROS-001.yaml?filename=DEP-EROS-001.yaml&amp;sig=tCOQ-qWEYO6e6ccQf2PBus8GKCgWdTfCTTdYgyzekMg=&amp;t=o&amp;response-cache-control=no-cache" TargetMode="External" /><Relationship Type="http://schemas.openxmlformats.org/officeDocument/2006/relationships/hyperlink" Id="rId22" Target="https://www.kimi.ai/apiv2-files/sign-obj/kimi-fs%2Fokc%2Frcglfas2s56eu%2Foutput%2Fartifacts%2Feros-ndaa219%2FDIAG-EROS-001.yaml?filename=DIAG-EROS-001.yaml&amp;sig=kwWAhCUkfeIBDXdjp_ydsJTwM77senLKgAJYzf2Aniw=&amp;t=o&amp;response-cache-control=no-cache" TargetMode="External" /><Relationship Type="http://schemas.openxmlformats.org/officeDocument/2006/relationships/hyperlink" Id="rId20" Target="https://www.kimi.ai/apiv2-files/sign-obj/kimi-fs%2Fokc%2Frcglfas2s56eu%2Foutput%2Fartifacts%2Feros-ndaa219%2FMANIFEST-EROS-001.yaml?filename=MANIFEST-EROS-001.yaml&amp;sig=vaJglW-0w7dqBU9W9NQ5vFaRXUwKGK76MvY6pJbayUU=&amp;t=o&amp;response-cache-control=no-cache" TargetMode="External" /><Relationship Type="http://schemas.openxmlformats.org/officeDocument/2006/relationships/hyperlink" Id="rId24" Target="https://www.kimi.ai/apiv2-files/sign-obj/kimi-fs%2Fokc%2Frcglfas2s56eu%2Foutput%2Fartifacts%2Feros-ndaa219%2FSCR-EROS-001.yaml?filename=SCR-EROS-001.yaml&amp;sig=aFGfvtzEKGDC7Et2J_uoBmZxfXoF53VeccJK5IkS70U=&amp;t=o&amp;response-cache-control=no-cac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kimi.ai/apiv2-files/sign-obj/kimi-fs%2Fokc%2Frcglfas2s56eu%2Foutput%2Fartifacts%2Feros-ndaa219%2FCLM-EROS-001.yaml?filename=CLM-EROS-001.yaml&amp;sig=65UaWURySBKrHPTXy5EzMUIU9JgwmopnGwqSHpkotug=&amp;t=o&amp;response-cache-control=no-cache" TargetMode="External" /><Relationship Type="http://schemas.openxmlformats.org/officeDocument/2006/relationships/hyperlink" Id="rId23" Target="https://www.kimi.ai/apiv2-files/sign-obj/kimi-fs%2Fokc%2Frcglfas2s56eu%2Foutput%2Fartifacts%2Feros-ndaa219%2FDEP-EROS-001.yaml?filename=DEP-EROS-001.yaml&amp;sig=tCOQ-qWEYO6e6ccQf2PBus8GKCgWdTfCTTdYgyzekMg=&amp;t=o&amp;response-cache-control=no-cache" TargetMode="External" /><Relationship Type="http://schemas.openxmlformats.org/officeDocument/2006/relationships/hyperlink" Id="rId22" Target="https://www.kimi.ai/apiv2-files/sign-obj/kimi-fs%2Fokc%2Frcglfas2s56eu%2Foutput%2Fartifacts%2Feros-ndaa219%2FDIAG-EROS-001.yaml?filename=DIAG-EROS-001.yaml&amp;sig=kwWAhCUkfeIBDXdjp_ydsJTwM77senLKgAJYzf2Aniw=&amp;t=o&amp;response-cache-control=no-cache" TargetMode="External" /><Relationship Type="http://schemas.openxmlformats.org/officeDocument/2006/relationships/hyperlink" Id="rId20" Target="https://www.kimi.ai/apiv2-files/sign-obj/kimi-fs%2Fokc%2Frcglfas2s56eu%2Foutput%2Fartifacts%2Feros-ndaa219%2FMANIFEST-EROS-001.yaml?filename=MANIFEST-EROS-001.yaml&amp;sig=vaJglW-0w7dqBU9W9NQ5vFaRXUwKGK76MvY6pJbayUU=&amp;t=o&amp;response-cache-control=no-cache" TargetMode="External" /><Relationship Type="http://schemas.openxmlformats.org/officeDocument/2006/relationships/hyperlink" Id="rId24" Target="https://www.kimi.ai/apiv2-files/sign-obj/kimi-fs%2Fokc%2Frcglfas2s56eu%2Foutput%2Fartifacts%2Feros-ndaa219%2FSCR-EROS-001.yaml?filename=SCR-EROS-001.yaml&amp;sig=aFGfvtzEKGDC7Et2J_uoBmZxfXoF53VeccJK5IkS70U=&amp;t=o&amp;response-cache-control=no-cac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2026-10-19T19:13:54Z</dcterms:created>
  <dcterms:modified xsi:type="dcterms:W3CDTF">2026-10-19T19:13:54Z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d4fov0rfm99m9073c0-1a133bfc-a582-834d-8000-0905872a4964-20261020031354","ReservedCode1":"","ContentPropagator":"001191110108MACG2KBH8F20000","PropagateID":"d9d4fov0rfm99m9073c0-1a133bfc-a582-834d-8000-0905872a4964-20261020031354","ReservedCode2":""}</vt:lpwstr>
  </property>
</Properties>
</file>