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Rule="auto"/>
        <w:jc w:val="both"/>
        <w:rPr/>
      </w:pPr>
      <w:bookmarkStart w:colFirst="0" w:colLast="0" w:name="_o5pc9a8l78wr" w:id="0"/>
      <w:bookmarkEnd w:id="0"/>
      <w:r w:rsidDel="00000000" w:rsidR="00000000" w:rsidRPr="00000000">
        <w:rPr>
          <w:rtl w:val="0"/>
        </w:rPr>
        <w:t xml:space="preserve">QUESTAO  1</w:t>
      </w:r>
    </w:p>
    <w:p w:rsidR="00000000" w:rsidDel="00000000" w:rsidP="00000000" w:rsidRDefault="00000000" w:rsidRPr="00000000" w14:paraId="00000002">
      <w:pPr>
        <w:pStyle w:val="Heading2"/>
        <w:spacing w:after="240" w:before="240" w:lineRule="auto"/>
        <w:jc w:val="both"/>
        <w:rPr/>
      </w:pPr>
      <w:bookmarkStart w:colFirst="0" w:colLast="0" w:name="_a2k4ru906oc4" w:id="1"/>
      <w:bookmarkEnd w:id="1"/>
      <w:r w:rsidDel="00000000" w:rsidR="00000000" w:rsidRPr="00000000">
        <w:rPr>
          <w:rtl w:val="0"/>
        </w:rPr>
        <w:t xml:space="preserve">Justifique e fundamente a conciliação jurídica possível, em caso de colisão, entre os direitos “ao bom nome e reputação” e “à palavra e à imagem” consagrados no n.º 1 do artigo 26º da CRP, e os direitos de “informar, de se informar e de ser informados, sem impedimentos nem discriminações” consagrados no n.º 1 do artigo 37º da CRP.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240" w:before="240" w:lineRule="auto"/>
        <w:jc w:val="both"/>
        <w:rPr/>
      </w:pPr>
      <w:bookmarkStart w:colFirst="0" w:colLast="0" w:name="_prhjufoplex4" w:id="2"/>
      <w:bookmarkEnd w:id="2"/>
      <w:r w:rsidDel="00000000" w:rsidR="00000000" w:rsidRPr="00000000">
        <w:rPr>
          <w:rtl w:val="0"/>
        </w:rPr>
        <w:t xml:space="preserve">QUESTAO  2</w:t>
      </w:r>
    </w:p>
    <w:p w:rsidR="00000000" w:rsidDel="00000000" w:rsidP="00000000" w:rsidRDefault="00000000" w:rsidRPr="00000000" w14:paraId="00000005">
      <w:pPr>
        <w:pStyle w:val="Heading2"/>
        <w:spacing w:after="240" w:before="240" w:lineRule="auto"/>
        <w:jc w:val="both"/>
        <w:rPr/>
      </w:pPr>
      <w:bookmarkStart w:colFirst="0" w:colLast="0" w:name="_evq9ke1bgkk" w:id="3"/>
      <w:bookmarkEnd w:id="3"/>
      <w:r w:rsidDel="00000000" w:rsidR="00000000" w:rsidRPr="00000000">
        <w:rPr>
          <w:rtl w:val="0"/>
        </w:rPr>
        <w:t xml:space="preserve">No âmbito da Lei do Cibercrime, tipifique os crimes contra a confidencialidade, integridade e disponibilidade de dados e sistemas informáticos, facultando um exemplo de cada uma das tipificações. Fundamente a resposta com a própria lei.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after="240" w:before="240" w:lineRule="auto"/>
        <w:jc w:val="both"/>
        <w:rPr/>
      </w:pPr>
      <w:bookmarkStart w:colFirst="0" w:colLast="0" w:name="_frq0mrnwsrdt" w:id="4"/>
      <w:bookmarkEnd w:id="4"/>
      <w:r w:rsidDel="00000000" w:rsidR="00000000" w:rsidRPr="00000000">
        <w:rPr>
          <w:rtl w:val="0"/>
        </w:rPr>
        <w:t xml:space="preserve">QUESTAO 3</w:t>
      </w:r>
    </w:p>
    <w:p w:rsidR="00000000" w:rsidDel="00000000" w:rsidP="00000000" w:rsidRDefault="00000000" w:rsidRPr="00000000" w14:paraId="00000008">
      <w:pPr>
        <w:pStyle w:val="Heading2"/>
        <w:spacing w:after="240" w:before="240" w:lineRule="auto"/>
        <w:jc w:val="both"/>
        <w:rPr/>
      </w:pPr>
      <w:bookmarkStart w:colFirst="0" w:colLast="0" w:name="_tr79wimm6lnd" w:id="5"/>
      <w:bookmarkEnd w:id="5"/>
      <w:r w:rsidDel="00000000" w:rsidR="00000000" w:rsidRPr="00000000">
        <w:rPr>
          <w:rtl w:val="0"/>
        </w:rPr>
        <w:t xml:space="preserve">O Governo português elaborou um projeto de lei que pretende obrigar as instituições públicas e as instituições privadas de solidariedade social (IPSS) a divulgarem o nome dos beneficiários de apoios sociais, de qualquer natureza, através da página de internet da Inspeção Geral de Finanças. Exponha, no seu entendimento, quais os limites legais que esta medida pode enfrentar, e que meios jurídicos tem o Governo para salvaguardar a legalidade constitucional do referido diploma.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after="240" w:before="240" w:lineRule="auto"/>
        <w:jc w:val="both"/>
        <w:rPr/>
      </w:pPr>
      <w:bookmarkStart w:colFirst="0" w:colLast="0" w:name="_ckq48mxjz8il" w:id="6"/>
      <w:bookmarkEnd w:id="6"/>
      <w:r w:rsidDel="00000000" w:rsidR="00000000" w:rsidRPr="00000000">
        <w:rPr>
          <w:rtl w:val="0"/>
        </w:rPr>
        <w:t xml:space="preserve">QUESTAO 4</w:t>
      </w:r>
    </w:p>
    <w:p w:rsidR="00000000" w:rsidDel="00000000" w:rsidP="00000000" w:rsidRDefault="00000000" w:rsidRPr="00000000" w14:paraId="0000000B">
      <w:pPr>
        <w:pStyle w:val="Heading2"/>
        <w:spacing w:after="240" w:before="240" w:lineRule="auto"/>
        <w:jc w:val="both"/>
        <w:rPr/>
      </w:pPr>
      <w:bookmarkStart w:colFirst="0" w:colLast="0" w:name="_txpmtryor4vn" w:id="7"/>
      <w:bookmarkEnd w:id="7"/>
      <w:r w:rsidDel="00000000" w:rsidR="00000000" w:rsidRPr="00000000">
        <w:rPr>
          <w:rtl w:val="0"/>
        </w:rPr>
        <w:t xml:space="preserve">O RGPD visa garantir os direitos dos titulares dos dados pessoais. Descreva quais são os direitos dos titulares de dados, providenciando exemplos de como podem ser colocados em prática. Fundamente a resposta.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240" w:before="240" w:lineRule="auto"/>
        <w:jc w:val="both"/>
        <w:rPr/>
      </w:pPr>
      <w:bookmarkStart w:colFirst="0" w:colLast="0" w:name="_pa4a8892cr6" w:id="8"/>
      <w:bookmarkEnd w:id="8"/>
      <w:r w:rsidDel="00000000" w:rsidR="00000000" w:rsidRPr="00000000">
        <w:rPr>
          <w:rtl w:val="0"/>
        </w:rPr>
        <w:t xml:space="preserve">QUESTAO 5</w:t>
      </w:r>
    </w:p>
    <w:p w:rsidR="00000000" w:rsidDel="00000000" w:rsidP="00000000" w:rsidRDefault="00000000" w:rsidRPr="00000000" w14:paraId="0000000E">
      <w:pPr>
        <w:pStyle w:val="Heading2"/>
        <w:spacing w:after="240" w:before="240" w:lineRule="auto"/>
        <w:jc w:val="both"/>
        <w:rPr/>
      </w:pPr>
      <w:bookmarkStart w:colFirst="0" w:colLast="0" w:name="_8upwg1y3xpmj" w:id="9"/>
      <w:bookmarkEnd w:id="9"/>
      <w:r w:rsidDel="00000000" w:rsidR="00000000" w:rsidRPr="00000000">
        <w:rPr>
          <w:rtl w:val="0"/>
        </w:rPr>
        <w:t xml:space="preserve">Fundamente o princípio jurídico da proteção constitucional dos direitos consagrados no artigo 34º da CRP sobre a correspondência e o sigilo das telecomunicações, e as obrigações do Estado de garantir aos cidadãos um combate eficaz contra o crime organizado e contra o terrorismo. Justifique a resposta ligando estas temáticas ao RGPD.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240" w:before="240" w:lineRule="auto"/>
        <w:jc w:val="both"/>
        <w:rPr/>
      </w:pPr>
      <w:bookmarkStart w:colFirst="0" w:colLast="0" w:name="_s3ekmlbzvknx" w:id="10"/>
      <w:bookmarkEnd w:id="10"/>
      <w:r w:rsidDel="00000000" w:rsidR="00000000" w:rsidRPr="00000000">
        <w:rPr>
          <w:rtl w:val="0"/>
        </w:rPr>
        <w:t xml:space="preserve">QUESTAO 6 </w:t>
      </w:r>
    </w:p>
    <w:p w:rsidR="00000000" w:rsidDel="00000000" w:rsidP="00000000" w:rsidRDefault="00000000" w:rsidRPr="00000000" w14:paraId="00000011">
      <w:pPr>
        <w:pStyle w:val="Heading2"/>
        <w:spacing w:after="240" w:before="240" w:lineRule="auto"/>
        <w:jc w:val="both"/>
        <w:rPr/>
      </w:pPr>
      <w:bookmarkStart w:colFirst="0" w:colLast="0" w:name="_1g8xshl9812w" w:id="11"/>
      <w:bookmarkEnd w:id="11"/>
      <w:r w:rsidDel="00000000" w:rsidR="00000000" w:rsidRPr="00000000">
        <w:rPr>
          <w:rtl w:val="0"/>
        </w:rPr>
        <w:t xml:space="preserve">O RGPD estabelece regras relativamente ao tratamento dos dados pessoais dos candidatos a ofertas de emprego. Elabore um método completo para a obtenção da legitimidade para o tratamento de dados em candidaturas de emprego. Fundamente a resposta.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40" w:before="240" w:lineRule="auto"/>
        <w:jc w:val="both"/>
        <w:rPr/>
      </w:pPr>
      <w:bookmarkStart w:colFirst="0" w:colLast="0" w:name="_xurp7vxb2z93" w:id="12"/>
      <w:bookmarkEnd w:id="12"/>
      <w:r w:rsidDel="00000000" w:rsidR="00000000" w:rsidRPr="00000000">
        <w:rPr>
          <w:rtl w:val="0"/>
        </w:rPr>
        <w:t xml:space="preserve">QUESTAO  7</w:t>
      </w:r>
    </w:p>
    <w:p w:rsidR="00000000" w:rsidDel="00000000" w:rsidP="00000000" w:rsidRDefault="00000000" w:rsidRPr="00000000" w14:paraId="00000014">
      <w:pPr>
        <w:pStyle w:val="Heading2"/>
        <w:spacing w:after="240" w:before="240" w:lineRule="auto"/>
        <w:jc w:val="both"/>
        <w:rPr/>
      </w:pPr>
      <w:bookmarkStart w:colFirst="0" w:colLast="0" w:name="_74123x6sllw" w:id="13"/>
      <w:bookmarkEnd w:id="13"/>
      <w:r w:rsidDel="00000000" w:rsidR="00000000" w:rsidRPr="00000000">
        <w:rPr>
          <w:rtl w:val="0"/>
        </w:rPr>
        <w:t xml:space="preserve">Quais as obrigações a que está sujeita qualquer empresa ou organização em matéria de proteção de dados pessoais, e que funções estão reservadas à Comissão Nacional de Proteção de Dados. Fundamente a resposta.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240" w:before="240" w:lineRule="auto"/>
        <w:jc w:val="both"/>
        <w:rPr/>
      </w:pPr>
      <w:bookmarkStart w:colFirst="0" w:colLast="0" w:name="_lt1d9qhvhs75" w:id="14"/>
      <w:bookmarkEnd w:id="14"/>
      <w:r w:rsidDel="00000000" w:rsidR="00000000" w:rsidRPr="00000000">
        <w:rPr>
          <w:rtl w:val="0"/>
        </w:rPr>
        <w:t xml:space="preserve">QUESTAO  8</w:t>
      </w:r>
    </w:p>
    <w:p w:rsidR="00000000" w:rsidDel="00000000" w:rsidP="00000000" w:rsidRDefault="00000000" w:rsidRPr="00000000" w14:paraId="00000017">
      <w:pPr>
        <w:pStyle w:val="Heading2"/>
        <w:spacing w:after="240" w:before="240" w:lineRule="auto"/>
        <w:jc w:val="both"/>
        <w:rPr/>
      </w:pPr>
      <w:bookmarkStart w:colFirst="0" w:colLast="0" w:name="_3qbt1zj2h0rd" w:id="15"/>
      <w:bookmarkEnd w:id="15"/>
      <w:r w:rsidDel="00000000" w:rsidR="00000000" w:rsidRPr="00000000">
        <w:rPr>
          <w:rtl w:val="0"/>
        </w:rPr>
        <w:t xml:space="preserve">O comércio eletrónico é cada vez mais utilizado nas economias modernas. Exponha quatro direitos que os consumidores têm para exigirem o integral cumprimento dos contratos que podem celebrar com suporte em plataformas eletrónicas, nomeadamente no que respeita às garantias de equipamentos ou sobre a qualidade dos produtos encomendados a fornecedores com sede em países da União Europeia. Justifique a resposta, com base na Lei do Comércio Eletrónico.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after="240" w:before="240" w:lineRule="auto"/>
        <w:jc w:val="both"/>
        <w:rPr/>
      </w:pPr>
      <w:bookmarkStart w:colFirst="0" w:colLast="0" w:name="_zdmfxl8ty6bo" w:id="16"/>
      <w:bookmarkEnd w:id="16"/>
      <w:r w:rsidDel="00000000" w:rsidR="00000000" w:rsidRPr="00000000">
        <w:rPr>
          <w:rtl w:val="0"/>
        </w:rPr>
        <w:t xml:space="preserve">QUESTAO 9 </w:t>
      </w:r>
    </w:p>
    <w:p w:rsidR="00000000" w:rsidDel="00000000" w:rsidP="00000000" w:rsidRDefault="00000000" w:rsidRPr="00000000" w14:paraId="0000001B">
      <w:pPr>
        <w:pStyle w:val="Heading2"/>
        <w:spacing w:after="240" w:before="240" w:lineRule="auto"/>
        <w:jc w:val="both"/>
        <w:rPr/>
      </w:pPr>
      <w:bookmarkStart w:colFirst="0" w:colLast="0" w:name="_pz7t0hfnxtmr" w:id="17"/>
      <w:bookmarkEnd w:id="17"/>
      <w:r w:rsidDel="00000000" w:rsidR="00000000" w:rsidRPr="00000000">
        <w:rPr>
          <w:rtl w:val="0"/>
        </w:rPr>
        <w:t xml:space="preserve">Os colaboradores das empresas são também titulares de dados pessoais. Descreva em detalhe que ações deverá efetuar o empregador para que se cumpra o RGPD relativamente a estes dados. Fundamente a resposta.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after="240" w:before="240" w:lineRule="auto"/>
        <w:jc w:val="both"/>
        <w:rPr/>
      </w:pPr>
      <w:bookmarkStart w:colFirst="0" w:colLast="0" w:name="_81iib63wlyo0" w:id="18"/>
      <w:bookmarkEnd w:id="18"/>
      <w:r w:rsidDel="00000000" w:rsidR="00000000" w:rsidRPr="00000000">
        <w:rPr>
          <w:rtl w:val="0"/>
        </w:rPr>
        <w:t xml:space="preserve">QUESTAO 10 </w:t>
      </w:r>
    </w:p>
    <w:p w:rsidR="00000000" w:rsidDel="00000000" w:rsidP="00000000" w:rsidRDefault="00000000" w:rsidRPr="00000000" w14:paraId="0000001E">
      <w:pPr>
        <w:pStyle w:val="Heading2"/>
        <w:spacing w:after="240" w:before="240" w:lineRule="auto"/>
        <w:jc w:val="both"/>
        <w:rPr/>
      </w:pPr>
      <w:bookmarkStart w:colFirst="0" w:colLast="0" w:name="_xywytyvesr2s" w:id="19"/>
      <w:bookmarkEnd w:id="19"/>
      <w:r w:rsidDel="00000000" w:rsidR="00000000" w:rsidRPr="00000000">
        <w:rPr>
          <w:rtl w:val="0"/>
        </w:rPr>
        <w:t xml:space="preserve">Exponha dois instrumentos jurídicos a que pode recorrer um criador de software de jogos de diversão para salvaguardar os seus direitos de propriedade intelectual, quando presta serviços a uma empresa na condição de trabalhador dependente. Fundamente a resposta com dois exemplos práticos, e com os correspondentes instrumentos legais.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240" w:before="240" w:lineRule="auto"/>
        <w:jc w:val="both"/>
        <w:rPr/>
      </w:pPr>
      <w:bookmarkStart w:colFirst="0" w:colLast="0" w:name="_svhflqarkejv" w:id="20"/>
      <w:bookmarkEnd w:id="20"/>
      <w:r w:rsidDel="00000000" w:rsidR="00000000" w:rsidRPr="00000000">
        <w:rPr>
          <w:rtl w:val="0"/>
        </w:rPr>
        <w:t xml:space="preserve">QUESTAO 11 </w:t>
      </w:r>
    </w:p>
    <w:p w:rsidR="00000000" w:rsidDel="00000000" w:rsidP="00000000" w:rsidRDefault="00000000" w:rsidRPr="00000000" w14:paraId="00000021">
      <w:pPr>
        <w:pStyle w:val="Heading2"/>
        <w:spacing w:after="240" w:before="240" w:lineRule="auto"/>
        <w:jc w:val="both"/>
        <w:rPr/>
      </w:pPr>
      <w:bookmarkStart w:colFirst="0" w:colLast="0" w:name="_caeh4pmtyn2u" w:id="21"/>
      <w:bookmarkEnd w:id="21"/>
      <w:r w:rsidDel="00000000" w:rsidR="00000000" w:rsidRPr="00000000">
        <w:rPr>
          <w:rtl w:val="0"/>
        </w:rPr>
        <w:t xml:space="preserve">Os direitos à liberdade de expressão e de informação não são absolutos, e têm de ser conciliados com outros direitos de igual relevância constitucional. Justifique como conciliar os direitos dos jornalistas à publicação de notícias de relevante interesse público, e os direitos à reserva da vida privada e familiar de figuras públicas que desempenham cargos políticos. Justifique a resposta com os normativos constitucionais aplicáveis.</w:t>
      </w:r>
    </w:p>
    <w:sectPr>
      <w:pgSz w:h="16838" w:w="11906" w:orient="portrait"/>
      <w:pgMar w:bottom="697.3228346456693" w:top="2222.36220472441" w:left="578.2677165354331" w:right="600.9448818897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