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1B5E26" w:rsidP="00025792">
      <w:pPr>
        <w:rPr>
          <w:rFonts w:asciiTheme="majorHAnsi" w:hAnsiTheme="majorHAnsi"/>
        </w:rPr>
      </w:pPr>
      <w:r>
        <w:rPr>
          <w:rFonts w:asciiTheme="majorHAnsi" w:hAnsiTheme="majorHAnsi"/>
        </w:rPr>
        <w:t>Version 0.5</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1C32FA" w:rsidP="00025792">
      <w:pPr>
        <w:rPr>
          <w:rFonts w:asciiTheme="majorHAnsi" w:hAnsiTheme="majorHAnsi"/>
        </w:rPr>
      </w:pPr>
      <w:r>
        <w:rPr>
          <w:rFonts w:asciiTheme="majorHAnsi" w:hAnsiTheme="majorHAnsi"/>
        </w:rPr>
        <w:t xml:space="preserve">Darren </w:t>
      </w:r>
      <w:proofErr w:type="spellStart"/>
      <w:r>
        <w:rPr>
          <w:rFonts w:asciiTheme="majorHAnsi" w:hAnsiTheme="majorHAnsi"/>
        </w:rPr>
        <w:t>Cof</w:t>
      </w:r>
      <w:r w:rsidR="00025792" w:rsidRPr="001547F1">
        <w:rPr>
          <w:rFonts w:asciiTheme="majorHAnsi" w:hAnsiTheme="majorHAnsi"/>
        </w:rPr>
        <w:t>er</w:t>
      </w:r>
      <w:proofErr w:type="spellEnd"/>
      <w:r w:rsidR="00025792" w:rsidRPr="001547F1">
        <w:rPr>
          <w:rFonts w:asciiTheme="majorHAnsi" w:hAnsiTheme="majorHAnsi"/>
        </w:rPr>
        <w:t>, Rockwell Collins</w:t>
      </w:r>
      <w:r w:rsidR="00025792"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OSATE development environment installation instructions.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1B18A0">
        <w:tc>
          <w:tcPr>
            <w:tcW w:w="1237"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Pr="00AC3144" w:rsidRDefault="001B5E26" w:rsidP="001B18A0">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1B5E26" w:rsidRPr="00AC3144" w:rsidRDefault="001B5E26" w:rsidP="001B5E26">
            <w:pPr>
              <w:rPr>
                <w:rFonts w:asciiTheme="majorHAnsi" w:hAnsiTheme="majorHAnsi" w:cstheme="majorHAnsi"/>
              </w:rPr>
            </w:pPr>
            <w:r>
              <w:rPr>
                <w:rFonts w:asciiTheme="majorHAnsi" w:hAnsiTheme="majorHAnsi" w:cstheme="majorHAnsi"/>
              </w:rPr>
              <w:t>Removed SOTERIA install instructions and updated , OSATE 2.3.6 install instructions.</w:t>
            </w:r>
          </w:p>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525294696"/>
      <w:r>
        <w:t>Table of Contents</w:t>
      </w:r>
      <w:bookmarkEnd w:id="0"/>
    </w:p>
    <w:p w:rsidR="005C6E35" w:rsidRPr="005C6E35" w:rsidRDefault="00700145">
      <w:pPr>
        <w:pStyle w:val="TOC1"/>
        <w:tabs>
          <w:tab w:val="left" w:pos="480"/>
          <w:tab w:val="right" w:leader="dot" w:pos="9350"/>
        </w:tabs>
        <w:rPr>
          <w:rFonts w:asciiTheme="majorHAnsi" w:eastAsiaTheme="minorEastAsia" w:hAnsiTheme="majorHAnsi" w:cstheme="majorHAnsi"/>
          <w:noProof/>
          <w:color w:val="auto"/>
          <w:sz w:val="22"/>
          <w:szCs w:val="22"/>
        </w:rPr>
      </w:pPr>
      <w:r w:rsidRPr="005C6E35">
        <w:rPr>
          <w:rFonts w:asciiTheme="majorHAnsi" w:hAnsiTheme="majorHAnsi" w:cstheme="majorHAnsi"/>
        </w:rPr>
        <w:fldChar w:fldCharType="begin"/>
      </w:r>
      <w:r w:rsidRPr="005C6E35">
        <w:rPr>
          <w:rFonts w:asciiTheme="majorHAnsi" w:hAnsiTheme="majorHAnsi" w:cstheme="majorHAnsi"/>
        </w:rPr>
        <w:instrText xml:space="preserve"> TOC \o "1-5" \h \z \u </w:instrText>
      </w:r>
      <w:r w:rsidRPr="005C6E35">
        <w:rPr>
          <w:rFonts w:asciiTheme="majorHAnsi" w:hAnsiTheme="majorHAnsi" w:cstheme="majorHAnsi"/>
        </w:rPr>
        <w:fldChar w:fldCharType="separate"/>
      </w:r>
      <w:hyperlink w:anchor="_Toc525294696" w:history="1">
        <w:r w:rsidR="005C6E35" w:rsidRPr="005C6E35">
          <w:rPr>
            <w:rStyle w:val="Hyperlink"/>
            <w:rFonts w:asciiTheme="majorHAnsi" w:hAnsiTheme="majorHAnsi" w:cstheme="majorHAnsi"/>
            <w:noProof/>
          </w:rPr>
          <w:t>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Table of Contents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w:t>
        </w:r>
        <w:r w:rsidR="005C6E35" w:rsidRPr="005C6E35">
          <w:rPr>
            <w:rFonts w:asciiTheme="majorHAnsi" w:hAnsiTheme="majorHAnsi" w:cstheme="majorHAnsi"/>
            <w:noProof/>
            <w:webHidden/>
          </w:rPr>
          <w:fldChar w:fldCharType="end"/>
        </w:r>
      </w:hyperlink>
    </w:p>
    <w:p w:rsidR="005C6E35" w:rsidRPr="005C6E35" w:rsidRDefault="001B18A0">
      <w:pPr>
        <w:pStyle w:val="TOC1"/>
        <w:tabs>
          <w:tab w:val="left" w:pos="480"/>
          <w:tab w:val="right" w:leader="dot" w:pos="9350"/>
        </w:tabs>
        <w:rPr>
          <w:rFonts w:asciiTheme="majorHAnsi" w:eastAsiaTheme="minorEastAsia" w:hAnsiTheme="majorHAnsi" w:cstheme="majorHAnsi"/>
          <w:noProof/>
          <w:color w:val="auto"/>
          <w:sz w:val="22"/>
          <w:szCs w:val="22"/>
        </w:rPr>
      </w:pPr>
      <w:hyperlink w:anchor="_Toc525294697" w:history="1">
        <w:r w:rsidR="005C6E35" w:rsidRPr="005C6E35">
          <w:rPr>
            <w:rStyle w:val="Hyperlink"/>
            <w:rFonts w:asciiTheme="majorHAnsi" w:hAnsiTheme="majorHAnsi" w:cstheme="majorHAnsi"/>
            <w:noProof/>
          </w:rPr>
          <w:t>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Table of Figures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5</w:t>
        </w:r>
        <w:r w:rsidR="005C6E35" w:rsidRPr="005C6E35">
          <w:rPr>
            <w:rFonts w:asciiTheme="majorHAnsi" w:hAnsiTheme="majorHAnsi" w:cstheme="majorHAnsi"/>
            <w:noProof/>
            <w:webHidden/>
          </w:rPr>
          <w:fldChar w:fldCharType="end"/>
        </w:r>
      </w:hyperlink>
    </w:p>
    <w:p w:rsidR="005C6E35" w:rsidRPr="005C6E35" w:rsidRDefault="001B18A0">
      <w:pPr>
        <w:pStyle w:val="TOC1"/>
        <w:tabs>
          <w:tab w:val="left" w:pos="480"/>
          <w:tab w:val="right" w:leader="dot" w:pos="9350"/>
        </w:tabs>
        <w:rPr>
          <w:rFonts w:asciiTheme="majorHAnsi" w:eastAsiaTheme="minorEastAsia" w:hAnsiTheme="majorHAnsi" w:cstheme="majorHAnsi"/>
          <w:noProof/>
          <w:color w:val="auto"/>
          <w:sz w:val="22"/>
          <w:szCs w:val="22"/>
        </w:rPr>
      </w:pPr>
      <w:hyperlink w:anchor="_Toc525294698" w:history="1">
        <w:r w:rsidR="005C6E35" w:rsidRPr="005C6E35">
          <w:rPr>
            <w:rStyle w:val="Hyperlink"/>
            <w:rFonts w:asciiTheme="majorHAnsi" w:hAnsiTheme="majorHAnsi" w:cstheme="majorHAnsi"/>
            <w:noProof/>
          </w:rPr>
          <w:t>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Introduction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6</w:t>
        </w:r>
        <w:r w:rsidR="005C6E35" w:rsidRPr="005C6E35">
          <w:rPr>
            <w:rFonts w:asciiTheme="majorHAnsi" w:hAnsiTheme="majorHAnsi" w:cstheme="majorHAnsi"/>
            <w:noProof/>
            <w:webHidden/>
          </w:rPr>
          <w:fldChar w:fldCharType="end"/>
        </w:r>
      </w:hyperlink>
    </w:p>
    <w:p w:rsidR="005C6E35" w:rsidRPr="005C6E35" w:rsidRDefault="001B18A0">
      <w:pPr>
        <w:pStyle w:val="TOC1"/>
        <w:tabs>
          <w:tab w:val="left" w:pos="480"/>
          <w:tab w:val="right" w:leader="dot" w:pos="9350"/>
        </w:tabs>
        <w:rPr>
          <w:rFonts w:asciiTheme="majorHAnsi" w:eastAsiaTheme="minorEastAsia" w:hAnsiTheme="majorHAnsi" w:cstheme="majorHAnsi"/>
          <w:noProof/>
          <w:color w:val="auto"/>
          <w:sz w:val="22"/>
          <w:szCs w:val="22"/>
        </w:rPr>
      </w:pPr>
      <w:hyperlink w:anchor="_Toc525294699" w:history="1">
        <w:r w:rsidR="005C6E35" w:rsidRPr="005C6E35">
          <w:rPr>
            <w:rStyle w:val="Hyperlink"/>
            <w:rFonts w:asciiTheme="majorHAnsi" w:hAnsiTheme="majorHAnsi" w:cstheme="majorHAnsi"/>
            <w:noProof/>
          </w:rPr>
          <w:t>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Brief Overview of AADL, AGREE, and the Safety Annex</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7</w:t>
        </w:r>
        <w:r w:rsidR="005C6E35" w:rsidRPr="005C6E35">
          <w:rPr>
            <w:rFonts w:asciiTheme="majorHAnsi" w:hAnsiTheme="majorHAnsi" w:cstheme="majorHAnsi"/>
            <w:noProof/>
            <w:webHidden/>
          </w:rPr>
          <w:fldChar w:fldCharType="end"/>
        </w:r>
      </w:hyperlink>
    </w:p>
    <w:p w:rsidR="005C6E35" w:rsidRPr="005C6E35" w:rsidRDefault="001B18A0">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00" w:history="1">
        <w:r w:rsidR="005C6E35" w:rsidRPr="005C6E35">
          <w:rPr>
            <w:rStyle w:val="Hyperlink"/>
            <w:rFonts w:asciiTheme="majorHAnsi" w:hAnsiTheme="majorHAnsi" w:cstheme="majorHAnsi"/>
            <w:noProof/>
          </w:rPr>
          <w:t>4.1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Using the Safety Annex AADL Plugin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11</w:t>
        </w:r>
        <w:r w:rsidR="005C6E35" w:rsidRPr="005C6E35">
          <w:rPr>
            <w:rFonts w:asciiTheme="majorHAnsi" w:hAnsiTheme="majorHAnsi" w:cstheme="majorHAnsi"/>
            <w:noProof/>
            <w:webHidden/>
          </w:rPr>
          <w:fldChar w:fldCharType="end"/>
        </w:r>
      </w:hyperlink>
    </w:p>
    <w:p w:rsidR="005C6E35" w:rsidRPr="005C6E35" w:rsidRDefault="001B18A0">
      <w:pPr>
        <w:pStyle w:val="TOC1"/>
        <w:tabs>
          <w:tab w:val="left" w:pos="480"/>
          <w:tab w:val="right" w:leader="dot" w:pos="9350"/>
        </w:tabs>
        <w:rPr>
          <w:rFonts w:asciiTheme="majorHAnsi" w:eastAsiaTheme="minorEastAsia" w:hAnsiTheme="majorHAnsi" w:cstheme="majorHAnsi"/>
          <w:noProof/>
          <w:color w:val="auto"/>
          <w:sz w:val="22"/>
          <w:szCs w:val="22"/>
        </w:rPr>
      </w:pPr>
      <w:hyperlink w:anchor="_Toc525294701" w:history="1">
        <w:r w:rsidR="005C6E35" w:rsidRPr="005C6E35">
          <w:rPr>
            <w:rStyle w:val="Hyperlink"/>
            <w:rFonts w:asciiTheme="majorHAnsi" w:hAnsiTheme="majorHAnsi" w:cstheme="majorHAnsi"/>
            <w:noProof/>
          </w:rPr>
          <w:t>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Safety Annex Language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18</w:t>
        </w:r>
        <w:r w:rsidR="005C6E35" w:rsidRPr="005C6E35">
          <w:rPr>
            <w:rFonts w:asciiTheme="majorHAnsi" w:hAnsiTheme="majorHAnsi" w:cstheme="majorHAnsi"/>
            <w:noProof/>
            <w:webHidden/>
          </w:rPr>
          <w:fldChar w:fldCharType="end"/>
        </w:r>
      </w:hyperlink>
    </w:p>
    <w:p w:rsidR="005C6E35" w:rsidRPr="005C6E35" w:rsidRDefault="001B18A0">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02" w:history="1">
        <w:r w:rsidR="005C6E35" w:rsidRPr="005C6E35">
          <w:rPr>
            <w:rStyle w:val="Hyperlink"/>
            <w:rFonts w:asciiTheme="majorHAnsi" w:hAnsiTheme="majorHAnsi" w:cstheme="majorHAnsi"/>
            <w:noProof/>
          </w:rPr>
          <w:t>5.1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Syntax Overview</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18</w:t>
        </w:r>
        <w:r w:rsidR="005C6E35" w:rsidRPr="005C6E35">
          <w:rPr>
            <w:rFonts w:asciiTheme="majorHAnsi" w:hAnsiTheme="majorHAnsi" w:cstheme="majorHAnsi"/>
            <w:noProof/>
            <w:webHidden/>
          </w:rPr>
          <w:fldChar w:fldCharType="end"/>
        </w:r>
      </w:hyperlink>
    </w:p>
    <w:p w:rsidR="005C6E35" w:rsidRPr="005C6E35" w:rsidRDefault="001B18A0">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03" w:history="1">
        <w:r w:rsidR="005C6E35" w:rsidRPr="005C6E35">
          <w:rPr>
            <w:rStyle w:val="Hyperlink"/>
            <w:rFonts w:asciiTheme="majorHAnsi" w:hAnsiTheme="majorHAnsi" w:cstheme="majorHAnsi"/>
            <w:noProof/>
          </w:rPr>
          <w:t>5.2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Lexical Elements and Types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19</w:t>
        </w:r>
        <w:r w:rsidR="005C6E35" w:rsidRPr="005C6E35">
          <w:rPr>
            <w:rFonts w:asciiTheme="majorHAnsi" w:hAnsiTheme="majorHAnsi" w:cstheme="majorHAnsi"/>
            <w:noProof/>
            <w:webHidden/>
          </w:rPr>
          <w:fldChar w:fldCharType="end"/>
        </w:r>
      </w:hyperlink>
    </w:p>
    <w:p w:rsidR="005C6E35" w:rsidRPr="005C6E35" w:rsidRDefault="001B18A0">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04" w:history="1">
        <w:r w:rsidR="005C6E35" w:rsidRPr="005C6E35">
          <w:rPr>
            <w:rStyle w:val="Hyperlink"/>
            <w:rFonts w:asciiTheme="majorHAnsi" w:hAnsiTheme="majorHAnsi" w:cstheme="majorHAnsi"/>
            <w:noProof/>
          </w:rPr>
          <w:t>5.3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Subclauses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20</w:t>
        </w:r>
        <w:r w:rsidR="005C6E35" w:rsidRPr="005C6E35">
          <w:rPr>
            <w:rFonts w:asciiTheme="majorHAnsi" w:hAnsiTheme="majorHAnsi" w:cstheme="majorHAnsi"/>
            <w:noProof/>
            <w:webHidden/>
          </w:rPr>
          <w:fldChar w:fldCharType="end"/>
        </w:r>
      </w:hyperlink>
    </w:p>
    <w:p w:rsidR="005C6E35" w:rsidRPr="005C6E35" w:rsidRDefault="001B18A0">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05" w:history="1">
        <w:r w:rsidR="005C6E35" w:rsidRPr="005C6E35">
          <w:rPr>
            <w:rStyle w:val="Hyperlink"/>
            <w:rFonts w:asciiTheme="majorHAnsi" w:hAnsiTheme="majorHAnsi" w:cstheme="majorHAnsi"/>
            <w:noProof/>
          </w:rPr>
          <w:t>5.4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Spec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21</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06" w:history="1">
        <w:r w:rsidR="005C6E35" w:rsidRPr="005C6E35">
          <w:rPr>
            <w:rStyle w:val="Hyperlink"/>
            <w:rFonts w:asciiTheme="majorHAnsi" w:hAnsiTheme="majorHAnsi" w:cstheme="majorHAnsi"/>
            <w:noProof/>
          </w:rPr>
          <w:t>5.4.1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Fault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22</w:t>
        </w:r>
        <w:r w:rsidR="005C6E35" w:rsidRPr="005C6E35">
          <w:rPr>
            <w:rFonts w:asciiTheme="majorHAnsi" w:hAnsiTheme="majorHAnsi" w:cstheme="majorHAnsi"/>
            <w:noProof/>
            <w:webHidden/>
          </w:rPr>
          <w:fldChar w:fldCharType="end"/>
        </w:r>
      </w:hyperlink>
    </w:p>
    <w:p w:rsidR="005C6E35" w:rsidRPr="005C6E35" w:rsidRDefault="001B18A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07" w:history="1">
        <w:r w:rsidR="005C6E35" w:rsidRPr="005C6E35">
          <w:rPr>
            <w:rStyle w:val="Hyperlink"/>
            <w:rFonts w:asciiTheme="majorHAnsi" w:hAnsiTheme="majorHAnsi" w:cstheme="majorHAnsi"/>
            <w:noProof/>
          </w:rPr>
          <w:t>5.4.1.1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Input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22</w:t>
        </w:r>
        <w:r w:rsidR="005C6E35" w:rsidRPr="005C6E35">
          <w:rPr>
            <w:rFonts w:asciiTheme="majorHAnsi" w:hAnsiTheme="majorHAnsi" w:cstheme="majorHAnsi"/>
            <w:noProof/>
            <w:webHidden/>
          </w:rPr>
          <w:fldChar w:fldCharType="end"/>
        </w:r>
      </w:hyperlink>
    </w:p>
    <w:p w:rsidR="005C6E35" w:rsidRPr="005C6E35" w:rsidRDefault="001B18A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08" w:history="1">
        <w:r w:rsidR="005C6E35" w:rsidRPr="005C6E35">
          <w:rPr>
            <w:rStyle w:val="Hyperlink"/>
            <w:rFonts w:asciiTheme="majorHAnsi" w:hAnsiTheme="majorHAnsi" w:cstheme="majorHAnsi"/>
            <w:noProof/>
          </w:rPr>
          <w:t>5.4.1.2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Output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23</w:t>
        </w:r>
        <w:r w:rsidR="005C6E35" w:rsidRPr="005C6E35">
          <w:rPr>
            <w:rFonts w:asciiTheme="majorHAnsi" w:hAnsiTheme="majorHAnsi" w:cstheme="majorHAnsi"/>
            <w:noProof/>
            <w:webHidden/>
          </w:rPr>
          <w:fldChar w:fldCharType="end"/>
        </w:r>
      </w:hyperlink>
    </w:p>
    <w:p w:rsidR="005C6E35" w:rsidRPr="005C6E35" w:rsidRDefault="001B18A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09" w:history="1">
        <w:r w:rsidR="005C6E35" w:rsidRPr="005C6E35">
          <w:rPr>
            <w:rStyle w:val="Hyperlink"/>
            <w:rFonts w:asciiTheme="majorHAnsi" w:hAnsiTheme="majorHAnsi" w:cstheme="majorHAnsi"/>
            <w:noProof/>
          </w:rPr>
          <w:t>5.4.1.3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Duration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23</w:t>
        </w:r>
        <w:r w:rsidR="005C6E35" w:rsidRPr="005C6E35">
          <w:rPr>
            <w:rFonts w:asciiTheme="majorHAnsi" w:hAnsiTheme="majorHAnsi" w:cstheme="majorHAnsi"/>
            <w:noProof/>
            <w:webHidden/>
          </w:rPr>
          <w:fldChar w:fldCharType="end"/>
        </w:r>
      </w:hyperlink>
    </w:p>
    <w:p w:rsidR="005C6E35" w:rsidRPr="005C6E35" w:rsidRDefault="001B18A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10" w:history="1">
        <w:r w:rsidR="005C6E35" w:rsidRPr="005C6E35">
          <w:rPr>
            <w:rStyle w:val="Hyperlink"/>
            <w:rFonts w:asciiTheme="majorHAnsi" w:hAnsiTheme="majorHAnsi" w:cstheme="majorHAnsi"/>
            <w:noProof/>
          </w:rPr>
          <w:t>5.4.1.4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Trigger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24</w:t>
        </w:r>
        <w:r w:rsidR="005C6E35" w:rsidRPr="005C6E35">
          <w:rPr>
            <w:rFonts w:asciiTheme="majorHAnsi" w:hAnsiTheme="majorHAnsi" w:cstheme="majorHAnsi"/>
            <w:noProof/>
            <w:webHidden/>
          </w:rPr>
          <w:fldChar w:fldCharType="end"/>
        </w:r>
      </w:hyperlink>
    </w:p>
    <w:p w:rsidR="005C6E35" w:rsidRPr="005C6E35" w:rsidRDefault="001B18A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11" w:history="1">
        <w:r w:rsidR="005C6E35" w:rsidRPr="005C6E35">
          <w:rPr>
            <w:rStyle w:val="Hyperlink"/>
            <w:rFonts w:asciiTheme="majorHAnsi" w:hAnsiTheme="majorHAnsi" w:cstheme="majorHAnsi"/>
            <w:noProof/>
          </w:rPr>
          <w:t>5.4.1.5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Probability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24</w:t>
        </w:r>
        <w:r w:rsidR="005C6E35" w:rsidRPr="005C6E35">
          <w:rPr>
            <w:rFonts w:asciiTheme="majorHAnsi" w:hAnsiTheme="majorHAnsi" w:cstheme="majorHAnsi"/>
            <w:noProof/>
            <w:webHidden/>
          </w:rPr>
          <w:fldChar w:fldCharType="end"/>
        </w:r>
      </w:hyperlink>
    </w:p>
    <w:p w:rsidR="005C6E35" w:rsidRPr="005C6E35" w:rsidRDefault="001B18A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12" w:history="1">
        <w:r w:rsidR="005C6E35" w:rsidRPr="005C6E35">
          <w:rPr>
            <w:rStyle w:val="Hyperlink"/>
            <w:rFonts w:asciiTheme="majorHAnsi" w:hAnsiTheme="majorHAnsi" w:cstheme="majorHAnsi"/>
            <w:noProof/>
          </w:rPr>
          <w:t>5.4.1.6</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Propagation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24</w:t>
        </w:r>
        <w:r w:rsidR="005C6E35" w:rsidRPr="005C6E35">
          <w:rPr>
            <w:rFonts w:asciiTheme="majorHAnsi" w:hAnsiTheme="majorHAnsi" w:cstheme="majorHAnsi"/>
            <w:noProof/>
            <w:webHidden/>
          </w:rPr>
          <w:fldChar w:fldCharType="end"/>
        </w:r>
      </w:hyperlink>
    </w:p>
    <w:p w:rsidR="005C6E35" w:rsidRPr="005C6E35" w:rsidRDefault="001B18A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13" w:history="1">
        <w:r w:rsidR="005C6E35" w:rsidRPr="005C6E35">
          <w:rPr>
            <w:rStyle w:val="Hyperlink"/>
            <w:rFonts w:asciiTheme="majorHAnsi" w:hAnsiTheme="majorHAnsi" w:cstheme="majorHAnsi"/>
            <w:noProof/>
          </w:rPr>
          <w:t>5.4.1.7</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Safety Equation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1B18A0">
      <w:pPr>
        <w:pStyle w:val="TOC5"/>
        <w:tabs>
          <w:tab w:val="left" w:pos="2020"/>
          <w:tab w:val="right" w:leader="dot" w:pos="9350"/>
        </w:tabs>
        <w:rPr>
          <w:rFonts w:asciiTheme="majorHAnsi" w:eastAsiaTheme="minorEastAsia" w:hAnsiTheme="majorHAnsi" w:cstheme="majorHAnsi"/>
          <w:noProof/>
          <w:color w:val="auto"/>
          <w:sz w:val="22"/>
          <w:szCs w:val="22"/>
        </w:rPr>
      </w:pPr>
      <w:hyperlink w:anchor="_Toc525294714" w:history="1">
        <w:r w:rsidR="005C6E35" w:rsidRPr="005C6E35">
          <w:rPr>
            <w:rStyle w:val="Hyperlink"/>
            <w:rFonts w:asciiTheme="majorHAnsi" w:hAnsiTheme="majorHAnsi" w:cstheme="majorHAnsi"/>
            <w:noProof/>
          </w:rPr>
          <w:t>5.4.1.7.1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Eq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1B18A0">
      <w:pPr>
        <w:pStyle w:val="TOC5"/>
        <w:tabs>
          <w:tab w:val="left" w:pos="2020"/>
          <w:tab w:val="right" w:leader="dot" w:pos="9350"/>
        </w:tabs>
        <w:rPr>
          <w:rFonts w:asciiTheme="majorHAnsi" w:eastAsiaTheme="minorEastAsia" w:hAnsiTheme="majorHAnsi" w:cstheme="majorHAnsi"/>
          <w:noProof/>
          <w:color w:val="auto"/>
          <w:sz w:val="22"/>
          <w:szCs w:val="22"/>
        </w:rPr>
      </w:pPr>
      <w:hyperlink w:anchor="_Toc525294715" w:history="1">
        <w:r w:rsidR="005C6E35" w:rsidRPr="005C6E35">
          <w:rPr>
            <w:rStyle w:val="Hyperlink"/>
            <w:rFonts w:asciiTheme="majorHAnsi" w:hAnsiTheme="majorHAnsi" w:cstheme="majorHAnsi"/>
            <w:noProof/>
          </w:rPr>
          <w:t>5.4.1.7.2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Set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1B18A0">
      <w:pPr>
        <w:pStyle w:val="TOC5"/>
        <w:tabs>
          <w:tab w:val="left" w:pos="2020"/>
          <w:tab w:val="right" w:leader="dot" w:pos="9350"/>
        </w:tabs>
        <w:rPr>
          <w:rFonts w:asciiTheme="majorHAnsi" w:eastAsiaTheme="minorEastAsia" w:hAnsiTheme="majorHAnsi" w:cstheme="majorHAnsi"/>
          <w:noProof/>
          <w:color w:val="auto"/>
          <w:sz w:val="22"/>
          <w:szCs w:val="22"/>
        </w:rPr>
      </w:pPr>
      <w:hyperlink w:anchor="_Toc525294716" w:history="1">
        <w:r w:rsidR="005C6E35" w:rsidRPr="005C6E35">
          <w:rPr>
            <w:rStyle w:val="Hyperlink"/>
            <w:rFonts w:asciiTheme="majorHAnsi" w:hAnsiTheme="majorHAnsi" w:cstheme="majorHAnsi"/>
            <w:noProof/>
          </w:rPr>
          <w:t>5.4.1.7.3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Range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1B18A0">
      <w:pPr>
        <w:pStyle w:val="TOC5"/>
        <w:tabs>
          <w:tab w:val="left" w:pos="2020"/>
          <w:tab w:val="right" w:leader="dot" w:pos="9350"/>
        </w:tabs>
        <w:rPr>
          <w:rFonts w:asciiTheme="majorHAnsi" w:eastAsiaTheme="minorEastAsia" w:hAnsiTheme="majorHAnsi" w:cstheme="majorHAnsi"/>
          <w:noProof/>
          <w:color w:val="auto"/>
          <w:sz w:val="22"/>
          <w:szCs w:val="22"/>
        </w:rPr>
      </w:pPr>
      <w:hyperlink w:anchor="_Toc525294717" w:history="1">
        <w:r w:rsidR="005C6E35" w:rsidRPr="005C6E35">
          <w:rPr>
            <w:rStyle w:val="Hyperlink"/>
            <w:rFonts w:asciiTheme="majorHAnsi" w:hAnsiTheme="majorHAnsi" w:cstheme="majorHAnsi"/>
            <w:noProof/>
          </w:rPr>
          <w:t>5.4.1.7.4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Interval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26</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18" w:history="1">
        <w:r w:rsidR="005C6E35" w:rsidRPr="005C6E35">
          <w:rPr>
            <w:rStyle w:val="Hyperlink"/>
            <w:rFonts w:asciiTheme="majorHAnsi" w:hAnsiTheme="majorHAnsi" w:cstheme="majorHAnsi"/>
            <w:noProof/>
          </w:rPr>
          <w:t>5.4.2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Analysis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1B18A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19" w:history="1">
        <w:r w:rsidR="005C6E35" w:rsidRPr="005C6E35">
          <w:rPr>
            <w:rStyle w:val="Hyperlink"/>
            <w:rFonts w:asciiTheme="majorHAnsi" w:hAnsiTheme="majorHAnsi" w:cstheme="majorHAnsi"/>
            <w:noProof/>
          </w:rPr>
          <w:t>5.4.2.1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Max N Faults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1B18A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20" w:history="1">
        <w:r w:rsidR="005C6E35" w:rsidRPr="005C6E35">
          <w:rPr>
            <w:rStyle w:val="Hyperlink"/>
            <w:rFonts w:asciiTheme="majorHAnsi" w:hAnsiTheme="majorHAnsi" w:cstheme="majorHAnsi"/>
            <w:noProof/>
          </w:rPr>
          <w:t>5.4.2.2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Probabilistic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21" w:history="1">
        <w:r w:rsidR="005C6E35" w:rsidRPr="005C6E35">
          <w:rPr>
            <w:rStyle w:val="Hyperlink"/>
            <w:rFonts w:asciiTheme="majorHAnsi" w:hAnsiTheme="majorHAnsi" w:cstheme="majorHAnsi"/>
            <w:noProof/>
          </w:rPr>
          <w:t>5.4.3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Hardware Fault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1B18A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22" w:history="1">
        <w:r w:rsidR="005C6E35" w:rsidRPr="005C6E35">
          <w:rPr>
            <w:rStyle w:val="Hyperlink"/>
            <w:rFonts w:asciiTheme="majorHAnsi" w:hAnsiTheme="majorHAnsi" w:cstheme="majorHAnsi"/>
            <w:noProof/>
          </w:rPr>
          <w:t>5.4.3.1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Duration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28</w:t>
        </w:r>
        <w:r w:rsidR="005C6E35" w:rsidRPr="005C6E35">
          <w:rPr>
            <w:rFonts w:asciiTheme="majorHAnsi" w:hAnsiTheme="majorHAnsi" w:cstheme="majorHAnsi"/>
            <w:noProof/>
            <w:webHidden/>
          </w:rPr>
          <w:fldChar w:fldCharType="end"/>
        </w:r>
      </w:hyperlink>
    </w:p>
    <w:p w:rsidR="005C6E35" w:rsidRPr="005C6E35" w:rsidRDefault="001B18A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23" w:history="1">
        <w:r w:rsidR="005C6E35" w:rsidRPr="005C6E35">
          <w:rPr>
            <w:rStyle w:val="Hyperlink"/>
            <w:rFonts w:asciiTheme="majorHAnsi" w:hAnsiTheme="majorHAnsi" w:cstheme="majorHAnsi"/>
            <w:noProof/>
          </w:rPr>
          <w:t>5.4.3.2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Probability</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28</w:t>
        </w:r>
        <w:r w:rsidR="005C6E35" w:rsidRPr="005C6E35">
          <w:rPr>
            <w:rFonts w:asciiTheme="majorHAnsi" w:hAnsiTheme="majorHAnsi" w:cstheme="majorHAnsi"/>
            <w:noProof/>
            <w:webHidden/>
          </w:rPr>
          <w:fldChar w:fldCharType="end"/>
        </w:r>
      </w:hyperlink>
    </w:p>
    <w:p w:rsidR="005C6E35" w:rsidRPr="005C6E35" w:rsidRDefault="001B18A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24" w:history="1">
        <w:r w:rsidR="005C6E35" w:rsidRPr="005C6E35">
          <w:rPr>
            <w:rStyle w:val="Hyperlink"/>
            <w:rFonts w:asciiTheme="majorHAnsi" w:hAnsiTheme="majorHAnsi" w:cstheme="majorHAnsi"/>
            <w:noProof/>
          </w:rPr>
          <w:t>5.4.3.3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Propagation Type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28</w:t>
        </w:r>
        <w:r w:rsidR="005C6E35" w:rsidRPr="005C6E35">
          <w:rPr>
            <w:rFonts w:asciiTheme="majorHAnsi" w:hAnsiTheme="majorHAnsi" w:cstheme="majorHAnsi"/>
            <w:noProof/>
            <w:webHidden/>
          </w:rPr>
          <w:fldChar w:fldCharType="end"/>
        </w:r>
      </w:hyperlink>
    </w:p>
    <w:p w:rsidR="005C6E35" w:rsidRPr="005C6E35" w:rsidRDefault="001B18A0">
      <w:pPr>
        <w:pStyle w:val="TOC1"/>
        <w:tabs>
          <w:tab w:val="left" w:pos="480"/>
          <w:tab w:val="right" w:leader="dot" w:pos="9350"/>
        </w:tabs>
        <w:rPr>
          <w:rFonts w:asciiTheme="majorHAnsi" w:eastAsiaTheme="minorEastAsia" w:hAnsiTheme="majorHAnsi" w:cstheme="majorHAnsi"/>
          <w:noProof/>
          <w:color w:val="auto"/>
          <w:sz w:val="22"/>
          <w:szCs w:val="22"/>
        </w:rPr>
      </w:pPr>
      <w:hyperlink w:anchor="_Toc525294725" w:history="1">
        <w:r w:rsidR="005C6E35" w:rsidRPr="005C6E35">
          <w:rPr>
            <w:rStyle w:val="Hyperlink"/>
            <w:rFonts w:asciiTheme="majorHAnsi" w:hAnsiTheme="majorHAnsi" w:cstheme="majorHAnsi"/>
            <w:noProof/>
          </w:rPr>
          <w:t>6</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Generate Fault Trees and Failure Flow Diagrams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26" w:history="1">
        <w:r w:rsidR="005C6E35" w:rsidRPr="005C6E35">
          <w:rPr>
            <w:rStyle w:val="Hyperlink"/>
            <w:rFonts w:asciiTheme="majorHAnsi" w:hAnsiTheme="majorHAnsi" w:cstheme="majorHAnsi"/>
            <w:noProof/>
          </w:rPr>
          <w:t>6.1.1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Background</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1B18A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27" w:history="1">
        <w:r w:rsidR="005C6E35" w:rsidRPr="005C6E35">
          <w:rPr>
            <w:rStyle w:val="Hyperlink"/>
            <w:rFonts w:asciiTheme="majorHAnsi" w:eastAsia="Times New Roman" w:hAnsiTheme="majorHAnsi" w:cstheme="majorHAnsi"/>
            <w:noProof/>
          </w:rPr>
          <w:t>6.1.1.1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eastAsia="Times New Roman" w:hAnsiTheme="majorHAnsi" w:cstheme="majorHAnsi"/>
            <w:noProof/>
          </w:rPr>
          <w:t>Inductive Validity Cores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1B18A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28" w:history="1">
        <w:r w:rsidR="005C6E35" w:rsidRPr="005C6E35">
          <w:rPr>
            <w:rStyle w:val="Hyperlink"/>
            <w:rFonts w:asciiTheme="majorHAnsi" w:hAnsiTheme="majorHAnsi" w:cstheme="majorHAnsi"/>
            <w:noProof/>
          </w:rPr>
          <w:t>6.1.1.2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SOTERIA</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1B18A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29" w:history="1">
        <w:r w:rsidR="005C6E35" w:rsidRPr="005C6E35">
          <w:rPr>
            <w:rStyle w:val="Hyperlink"/>
            <w:rFonts w:asciiTheme="majorHAnsi" w:hAnsiTheme="majorHAnsi" w:cstheme="majorHAnsi"/>
            <w:noProof/>
          </w:rPr>
          <w:t>6.1.1.3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Overview of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30</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30" w:history="1">
        <w:r w:rsidR="005C6E35" w:rsidRPr="005C6E35">
          <w:rPr>
            <w:rStyle w:val="Hyperlink"/>
            <w:rFonts w:asciiTheme="majorHAnsi" w:hAnsiTheme="majorHAnsi" w:cstheme="majorHAnsi"/>
            <w:noProof/>
          </w:rPr>
          <w:t>6.1.2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Perform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31</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31" w:history="1">
        <w:r w:rsidR="005C6E35" w:rsidRPr="005C6E35">
          <w:rPr>
            <w:rStyle w:val="Hyperlink"/>
            <w:rFonts w:asciiTheme="majorHAnsi" w:hAnsiTheme="majorHAnsi" w:cstheme="majorHAnsi"/>
            <w:noProof/>
          </w:rPr>
          <w:t>6.1.3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Example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31</w:t>
        </w:r>
        <w:r w:rsidR="005C6E35" w:rsidRPr="005C6E35">
          <w:rPr>
            <w:rFonts w:asciiTheme="majorHAnsi" w:hAnsiTheme="majorHAnsi" w:cstheme="majorHAnsi"/>
            <w:noProof/>
            <w:webHidden/>
          </w:rPr>
          <w:fldChar w:fldCharType="end"/>
        </w:r>
      </w:hyperlink>
    </w:p>
    <w:p w:rsidR="005C6E35" w:rsidRPr="005C6E35" w:rsidRDefault="001B18A0">
      <w:pPr>
        <w:pStyle w:val="TOC1"/>
        <w:tabs>
          <w:tab w:val="left" w:pos="480"/>
          <w:tab w:val="right" w:leader="dot" w:pos="9350"/>
        </w:tabs>
        <w:rPr>
          <w:rFonts w:asciiTheme="majorHAnsi" w:eastAsiaTheme="minorEastAsia" w:hAnsiTheme="majorHAnsi" w:cstheme="majorHAnsi"/>
          <w:noProof/>
          <w:color w:val="auto"/>
          <w:sz w:val="22"/>
          <w:szCs w:val="22"/>
        </w:rPr>
      </w:pPr>
      <w:hyperlink w:anchor="_Toc525294732" w:history="1">
        <w:r w:rsidR="005C6E35" w:rsidRPr="005C6E35">
          <w:rPr>
            <w:rStyle w:val="Hyperlink"/>
            <w:rFonts w:asciiTheme="majorHAnsi" w:hAnsiTheme="majorHAnsi" w:cstheme="majorHAnsi"/>
            <w:noProof/>
          </w:rPr>
          <w:t>7</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The Tool Suite (Safety Annex, AGREE, AADL)</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34</w:t>
        </w:r>
        <w:r w:rsidR="005C6E35" w:rsidRPr="005C6E35">
          <w:rPr>
            <w:rFonts w:asciiTheme="majorHAnsi" w:hAnsiTheme="majorHAnsi" w:cstheme="majorHAnsi"/>
            <w:noProof/>
            <w:webHidden/>
          </w:rPr>
          <w:fldChar w:fldCharType="end"/>
        </w:r>
      </w:hyperlink>
    </w:p>
    <w:p w:rsidR="005C6E35" w:rsidRPr="005C6E35" w:rsidRDefault="001B18A0">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33" w:history="1">
        <w:r w:rsidR="005C6E35" w:rsidRPr="005C6E35">
          <w:rPr>
            <w:rStyle w:val="Hyperlink"/>
            <w:rFonts w:asciiTheme="majorHAnsi" w:hAnsiTheme="majorHAnsi" w:cstheme="majorHAnsi"/>
            <w:noProof/>
          </w:rPr>
          <w:t>7.1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Tool Suite Overview</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35</w:t>
        </w:r>
        <w:r w:rsidR="005C6E35" w:rsidRPr="005C6E35">
          <w:rPr>
            <w:rFonts w:asciiTheme="majorHAnsi" w:hAnsiTheme="majorHAnsi" w:cstheme="majorHAnsi"/>
            <w:noProof/>
            <w:webHidden/>
          </w:rPr>
          <w:fldChar w:fldCharType="end"/>
        </w:r>
      </w:hyperlink>
    </w:p>
    <w:p w:rsidR="005C6E35" w:rsidRPr="005C6E35" w:rsidRDefault="001B18A0">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34" w:history="1">
        <w:r w:rsidR="005C6E35" w:rsidRPr="005C6E35">
          <w:rPr>
            <w:rStyle w:val="Hyperlink"/>
            <w:rFonts w:asciiTheme="majorHAnsi" w:hAnsiTheme="majorHAnsi" w:cstheme="majorHAnsi"/>
            <w:noProof/>
          </w:rPr>
          <w:t>7.2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36</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35" w:history="1">
        <w:r w:rsidR="005C6E35" w:rsidRPr="005C6E35">
          <w:rPr>
            <w:rStyle w:val="Hyperlink"/>
            <w:rFonts w:asciiTheme="majorHAnsi" w:hAnsiTheme="majorHAnsi" w:cstheme="majorHAnsi"/>
            <w:noProof/>
          </w:rPr>
          <w:t>7.2.1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OSATE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36</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36" w:history="1">
        <w:r w:rsidR="005C6E35" w:rsidRPr="005C6E35">
          <w:rPr>
            <w:rStyle w:val="Hyperlink"/>
            <w:rFonts w:asciiTheme="majorHAnsi" w:hAnsiTheme="majorHAnsi" w:cstheme="majorHAnsi"/>
            <w:noProof/>
          </w:rPr>
          <w:t>7.2.2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SMT Solver</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38</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37" w:history="1">
        <w:r w:rsidR="005C6E35" w:rsidRPr="005C6E35">
          <w:rPr>
            <w:rStyle w:val="Hyperlink"/>
            <w:rFonts w:asciiTheme="majorHAnsi" w:hAnsiTheme="majorHAnsi" w:cstheme="majorHAnsi"/>
            <w:noProof/>
          </w:rPr>
          <w:t>7.2.3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JKind Model Checker</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40</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38" w:history="1">
        <w:r w:rsidR="005C6E35" w:rsidRPr="005C6E35">
          <w:rPr>
            <w:rStyle w:val="Hyperlink"/>
            <w:rFonts w:asciiTheme="majorHAnsi" w:hAnsiTheme="majorHAnsi" w:cstheme="majorHAnsi"/>
            <w:noProof/>
          </w:rPr>
          <w:t>7.2.4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Set AGREE Analysis Preferences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41</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39" w:history="1">
        <w:r w:rsidR="005C6E35" w:rsidRPr="005C6E35">
          <w:rPr>
            <w:rStyle w:val="Hyperlink"/>
            <w:rFonts w:asciiTheme="majorHAnsi" w:hAnsiTheme="majorHAnsi" w:cstheme="majorHAnsi"/>
            <w:noProof/>
          </w:rPr>
          <w:t>7.2.5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Safety Annex</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42</w:t>
        </w:r>
        <w:r w:rsidR="005C6E35" w:rsidRPr="005C6E35">
          <w:rPr>
            <w:rFonts w:asciiTheme="majorHAnsi" w:hAnsiTheme="majorHAnsi" w:cstheme="majorHAnsi"/>
            <w:noProof/>
            <w:webHidden/>
          </w:rPr>
          <w:fldChar w:fldCharType="end"/>
        </w:r>
      </w:hyperlink>
    </w:p>
    <w:p w:rsidR="005C6E35" w:rsidRPr="005C6E35" w:rsidRDefault="001B18A0">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40" w:history="1">
        <w:r w:rsidR="005C6E35" w:rsidRPr="005C6E35">
          <w:rPr>
            <w:rStyle w:val="Hyperlink"/>
            <w:rFonts w:asciiTheme="majorHAnsi" w:hAnsiTheme="majorHAnsi" w:cstheme="majorHAnsi"/>
            <w:noProof/>
          </w:rPr>
          <w:t>7.3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Development Environment Installation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41" w:history="1">
        <w:r w:rsidR="005C6E35" w:rsidRPr="005C6E35">
          <w:rPr>
            <w:rStyle w:val="Hyperlink"/>
            <w:rFonts w:asciiTheme="majorHAnsi" w:hAnsiTheme="majorHAnsi" w:cstheme="majorHAnsi"/>
            <w:noProof/>
          </w:rPr>
          <w:t>7.3.1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OSATE Development Environment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42" w:history="1">
        <w:r w:rsidR="005C6E35" w:rsidRPr="005C6E35">
          <w:rPr>
            <w:rStyle w:val="Hyperlink"/>
            <w:rFonts w:asciiTheme="majorHAnsi" w:hAnsiTheme="majorHAnsi" w:cstheme="majorHAnsi"/>
            <w:noProof/>
          </w:rPr>
          <w:t>7.3.2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XText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43" w:history="1">
        <w:r w:rsidR="005C6E35" w:rsidRPr="005C6E35">
          <w:rPr>
            <w:rStyle w:val="Hyperlink"/>
            <w:rFonts w:asciiTheme="majorHAnsi" w:hAnsiTheme="majorHAnsi" w:cstheme="majorHAnsi"/>
            <w:noProof/>
          </w:rPr>
          <w:t>7.3.3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Download Safety Annex Source Code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44" w:history="1">
        <w:r w:rsidR="005C6E35" w:rsidRPr="005C6E35">
          <w:rPr>
            <w:rStyle w:val="Hyperlink"/>
            <w:rFonts w:asciiTheme="majorHAnsi" w:hAnsiTheme="majorHAnsi" w:cstheme="majorHAnsi"/>
            <w:noProof/>
          </w:rPr>
          <w:t>7.3.4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Github Branches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44</w:t>
        </w:r>
        <w:r w:rsidR="005C6E35" w:rsidRPr="005C6E35">
          <w:rPr>
            <w:rFonts w:asciiTheme="majorHAnsi" w:hAnsiTheme="majorHAnsi" w:cstheme="majorHAnsi"/>
            <w:noProof/>
            <w:webHidden/>
          </w:rPr>
          <w:fldChar w:fldCharType="end"/>
        </w:r>
      </w:hyperlink>
    </w:p>
    <w:p w:rsidR="005C6E35" w:rsidRPr="005C6E35" w:rsidRDefault="001B18A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45" w:history="1">
        <w:r w:rsidR="005C6E35" w:rsidRPr="005C6E35">
          <w:rPr>
            <w:rStyle w:val="Hyperlink"/>
            <w:rFonts w:asciiTheme="majorHAnsi" w:hAnsiTheme="majorHAnsi" w:cstheme="majorHAnsi"/>
            <w:noProof/>
          </w:rPr>
          <w:t>7.3.5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Run OSATE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44</w:t>
        </w:r>
        <w:r w:rsidR="005C6E35" w:rsidRPr="005C6E35">
          <w:rPr>
            <w:rFonts w:asciiTheme="majorHAnsi" w:hAnsiTheme="majorHAnsi" w:cstheme="majorHAnsi"/>
            <w:noProof/>
            <w:webHidden/>
          </w:rPr>
          <w:fldChar w:fldCharType="end"/>
        </w:r>
      </w:hyperlink>
    </w:p>
    <w:p w:rsidR="005C6E35" w:rsidRPr="005C6E35" w:rsidRDefault="001B18A0">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46" w:history="1">
        <w:r w:rsidR="005C6E35" w:rsidRPr="005C6E35">
          <w:rPr>
            <w:rStyle w:val="Hyperlink"/>
            <w:rFonts w:asciiTheme="majorHAnsi" w:hAnsiTheme="majorHAnsi" w:cstheme="majorHAnsi"/>
            <w:noProof/>
          </w:rPr>
          <w:t>7.4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SOTERIA Toolset Installation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44</w:t>
        </w:r>
        <w:r w:rsidR="005C6E35" w:rsidRPr="005C6E35">
          <w:rPr>
            <w:rFonts w:asciiTheme="majorHAnsi" w:hAnsiTheme="majorHAnsi" w:cstheme="majorHAnsi"/>
            <w:noProof/>
            <w:webHidden/>
          </w:rPr>
          <w:fldChar w:fldCharType="end"/>
        </w:r>
      </w:hyperlink>
    </w:p>
    <w:p w:rsidR="00025792" w:rsidRPr="005C6E35" w:rsidRDefault="00700145" w:rsidP="00025792">
      <w:pPr>
        <w:rPr>
          <w:rFonts w:asciiTheme="majorHAnsi" w:hAnsiTheme="majorHAnsi" w:cstheme="majorHAnsi"/>
        </w:rPr>
      </w:pPr>
      <w:r w:rsidRPr="005C6E35">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25294697"/>
      <w:r>
        <w:t>Table of Figures</w:t>
      </w:r>
      <w:bookmarkEnd w:id="1"/>
    </w:p>
    <w:p w:rsidR="001A3B0C" w:rsidRPr="001A3B0C" w:rsidRDefault="00A75C31">
      <w:pPr>
        <w:pStyle w:val="TableofFigures"/>
        <w:tabs>
          <w:tab w:val="right" w:leader="dot" w:pos="9350"/>
        </w:tabs>
        <w:rPr>
          <w:rFonts w:asciiTheme="majorHAnsi" w:eastAsiaTheme="minorEastAsia" w:hAnsiTheme="majorHAnsi" w:cstheme="majorHAnsi"/>
          <w:noProof/>
          <w:color w:val="auto"/>
          <w:sz w:val="22"/>
          <w:szCs w:val="22"/>
        </w:rPr>
      </w:pPr>
      <w:r w:rsidRPr="001A3B0C">
        <w:rPr>
          <w:rFonts w:asciiTheme="majorHAnsi" w:hAnsiTheme="majorHAnsi" w:cstheme="majorHAnsi"/>
        </w:rPr>
        <w:fldChar w:fldCharType="begin"/>
      </w:r>
      <w:r w:rsidRPr="001A3B0C">
        <w:rPr>
          <w:rFonts w:asciiTheme="majorHAnsi" w:hAnsiTheme="majorHAnsi" w:cstheme="majorHAnsi"/>
        </w:rPr>
        <w:instrText xml:space="preserve"> TOC \h \z \c "Figure" </w:instrText>
      </w:r>
      <w:r w:rsidRPr="001A3B0C">
        <w:rPr>
          <w:rFonts w:asciiTheme="majorHAnsi" w:hAnsiTheme="majorHAnsi" w:cstheme="majorHAnsi"/>
        </w:rPr>
        <w:fldChar w:fldCharType="separate"/>
      </w:r>
      <w:hyperlink w:anchor="_Toc525294646" w:history="1">
        <w:r w:rsidR="001A3B0C" w:rsidRPr="001A3B0C">
          <w:rPr>
            <w:rStyle w:val="Hyperlink"/>
            <w:rFonts w:asciiTheme="majorHAnsi" w:hAnsiTheme="majorHAnsi" w:cstheme="majorHAnsi"/>
            <w:noProof/>
          </w:rPr>
          <w:t>Figure 1: Toy Example for Safety Annex and AGREE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8</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47" w:history="1">
        <w:r w:rsidR="001A3B0C" w:rsidRPr="001A3B0C">
          <w:rPr>
            <w:rStyle w:val="Hyperlink"/>
            <w:rFonts w:asciiTheme="majorHAnsi" w:hAnsiTheme="majorHAnsi" w:cstheme="majorHAnsi"/>
            <w:noProof/>
          </w:rPr>
          <w:t>Figure 2: AADL Code for Toy Example with AGREE and Safety Annexes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10</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48" w:history="1">
        <w:r w:rsidR="001A3B0C" w:rsidRPr="001A3B0C">
          <w:rPr>
            <w:rStyle w:val="Hyperlink"/>
            <w:rFonts w:asciiTheme="majorHAnsi" w:hAnsiTheme="majorHAnsi" w:cstheme="majorHAnsi"/>
            <w:noProof/>
          </w:rPr>
          <w:t>Figure 3: Fault Hypothesis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_Toc525294648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11</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49" w:history="1">
        <w:r w:rsidR="001A3B0C" w:rsidRPr="001A3B0C">
          <w:rPr>
            <w:rStyle w:val="Hyperlink"/>
            <w:rFonts w:asciiTheme="majorHAnsi" w:hAnsiTheme="majorHAnsi" w:cstheme="majorHAnsi"/>
            <w:noProof/>
          </w:rPr>
          <w:t>Figure 4: Import Menu Option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_Toc525294649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11</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50" w:history="1">
        <w:r w:rsidR="001A3B0C" w:rsidRPr="001A3B0C">
          <w:rPr>
            <w:rStyle w:val="Hyperlink"/>
            <w:rFonts w:asciiTheme="majorHAnsi" w:hAnsiTheme="majorHAnsi" w:cstheme="majorHAnsi"/>
            <w:noProof/>
          </w:rPr>
          <w:t>Figure 5: Importing Toy Example Project</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_Toc525294650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12</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51" w:history="1">
        <w:r w:rsidR="001A3B0C" w:rsidRPr="001A3B0C">
          <w:rPr>
            <w:rStyle w:val="Hyperlink"/>
            <w:rFonts w:asciiTheme="majorHAnsi" w:hAnsiTheme="majorHAnsi" w:cstheme="majorHAnsi"/>
            <w:noProof/>
          </w:rPr>
          <w:t>Figure 6: Workspace After Importing Toy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_Toc525294651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13</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52" w:history="1">
        <w:r w:rsidR="001A3B0C" w:rsidRPr="001A3B0C">
          <w:rPr>
            <w:rStyle w:val="Hyperlink"/>
            <w:rFonts w:asciiTheme="majorHAnsi" w:hAnsiTheme="majorHAnsi" w:cstheme="majorHAnsi"/>
            <w:noProof/>
          </w:rPr>
          <w:t>Figure 7: AGREE and Safety Analysis Dropdown Menu</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_Toc525294652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14</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53" w:history="1">
        <w:r w:rsidR="001A3B0C" w:rsidRPr="001A3B0C">
          <w:rPr>
            <w:rStyle w:val="Hyperlink"/>
            <w:rFonts w:asciiTheme="majorHAnsi" w:hAnsiTheme="majorHAnsi" w:cstheme="majorHAnsi"/>
            <w:noProof/>
          </w:rPr>
          <w:t>Figure 8:AGREE Verification Results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_Toc525294653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14</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54" w:history="1">
        <w:r w:rsidR="001A3B0C" w:rsidRPr="001A3B0C">
          <w:rPr>
            <w:rStyle w:val="Hyperlink"/>
            <w:rFonts w:asciiTheme="majorHAnsi" w:hAnsiTheme="majorHAnsi" w:cstheme="majorHAnsi"/>
            <w:noProof/>
          </w:rPr>
          <w:t>Figure 9: Counterexample from Safety Analysis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_Toc525294654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16</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55" w:history="1">
        <w:r w:rsidR="001A3B0C" w:rsidRPr="001A3B0C">
          <w:rPr>
            <w:rStyle w:val="Hyperlink"/>
            <w:rFonts w:asciiTheme="majorHAnsi" w:hAnsiTheme="majorHAnsi" w:cstheme="majorHAnsi"/>
            <w:noProof/>
          </w:rPr>
          <w:t>Figure 10: Generated Excel File for Counterexample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_Toc525294655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17</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56" w:history="1">
        <w:r w:rsidR="001A3B0C" w:rsidRPr="001A3B0C">
          <w:rPr>
            <w:rStyle w:val="Hyperlink"/>
            <w:rFonts w:asciiTheme="majorHAnsi" w:hAnsiTheme="majorHAnsi" w:cstheme="majorHAnsi"/>
            <w:noProof/>
          </w:rPr>
          <w:t>Figure 11: Medical Device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20</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57" w:history="1">
        <w:r w:rsidR="001A3B0C" w:rsidRPr="001A3B0C">
          <w:rPr>
            <w:rStyle w:val="Hyperlink"/>
            <w:rFonts w:asciiTheme="majorHAnsi" w:hAnsiTheme="majorHAnsi" w:cstheme="majorHAnsi"/>
            <w:noProof/>
          </w:rPr>
          <w:t>Figure 12: Safety Annex Grammar</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21</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58" w:history="1">
        <w:r w:rsidR="001A3B0C" w:rsidRPr="001A3B0C">
          <w:rPr>
            <w:rStyle w:val="Hyperlink"/>
            <w:rFonts w:asciiTheme="majorHAnsi" w:hAnsiTheme="majorHAnsi" w:cstheme="majorHAnsi"/>
            <w:noProof/>
          </w:rPr>
          <w:t>Figure 13: Fault Node Definition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_Toc525294658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22</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59" w:history="1">
        <w:r w:rsidR="001A3B0C" w:rsidRPr="001A3B0C">
          <w:rPr>
            <w:rStyle w:val="Hyperlink"/>
            <w:rFonts w:asciiTheme="majorHAnsi" w:hAnsiTheme="majorHAnsi" w:cstheme="majorHAnsi"/>
            <w:noProof/>
          </w:rPr>
          <w:t>Figure 14: Propagation Statement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_Toc525294659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24</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60" w:history="1">
        <w:r w:rsidR="001A3B0C" w:rsidRPr="001A3B0C">
          <w:rPr>
            <w:rStyle w:val="Hyperlink"/>
            <w:rFonts w:asciiTheme="majorHAnsi" w:hAnsiTheme="majorHAnsi" w:cstheme="majorHAnsi"/>
            <w:noProof/>
          </w:rPr>
          <w:t>Figure 15: Max One Fault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_Toc525294660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27</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61" w:history="1">
        <w:r w:rsidR="001A3B0C" w:rsidRPr="001A3B0C">
          <w:rPr>
            <w:rStyle w:val="Hyperlink"/>
            <w:rFonts w:asciiTheme="majorHAnsi" w:hAnsiTheme="majorHAnsi" w:cstheme="majorHAnsi"/>
            <w:noProof/>
          </w:rPr>
          <w:t>Figure 16: Probability Threshold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_Toc525294661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27</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62" w:history="1">
        <w:r w:rsidR="001A3B0C" w:rsidRPr="001A3B0C">
          <w:rPr>
            <w:rStyle w:val="Hyperlink"/>
            <w:rFonts w:asciiTheme="majorHAnsi" w:hAnsiTheme="majorHAnsi" w:cstheme="majorHAnsi"/>
            <w:noProof/>
          </w:rPr>
          <w:t>Figure 17: Hardware Fault Statement</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_Toc525294662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28</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63" w:history="1">
        <w:r w:rsidR="001A3B0C" w:rsidRPr="001A3B0C">
          <w:rPr>
            <w:rStyle w:val="Hyperlink"/>
            <w:rFonts w:asciiTheme="majorHAnsi" w:hAnsiTheme="majorHAnsi" w:cstheme="majorHAnsi"/>
            <w:noProof/>
          </w:rPr>
          <w:t>Figure 18: Test Example Architecture Description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_Toc525294663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32</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64" w:history="1">
        <w:r w:rsidR="001A3B0C" w:rsidRPr="001A3B0C">
          <w:rPr>
            <w:rStyle w:val="Hyperlink"/>
            <w:rFonts w:asciiTheme="majorHAnsi" w:hAnsiTheme="majorHAnsi" w:cstheme="majorHAnsi"/>
            <w:noProof/>
          </w:rPr>
          <w:t>Figure 19: SOTERIA Menu Item</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_Toc525294664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32</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65" w:history="1">
        <w:r w:rsidR="001A3B0C" w:rsidRPr="001A3B0C">
          <w:rPr>
            <w:rStyle w:val="Hyperlink"/>
            <w:rFonts w:asciiTheme="majorHAnsi" w:hAnsiTheme="majorHAnsi" w:cstheme="majorHAnsi"/>
            <w:noProof/>
          </w:rPr>
          <w:t>Figure 20: Text Example Physical Model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_Toc525294665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33</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66" w:history="1">
        <w:r w:rsidR="001A3B0C" w:rsidRPr="001A3B0C">
          <w:rPr>
            <w:rStyle w:val="Hyperlink"/>
            <w:rFonts w:asciiTheme="majorHAnsi" w:hAnsiTheme="majorHAnsi" w:cstheme="majorHAnsi"/>
            <w:noProof/>
          </w:rPr>
          <w:t>Figure 21: Test Example Functional Model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33</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67" w:history="1">
        <w:r w:rsidR="001A3B0C" w:rsidRPr="001A3B0C">
          <w:rPr>
            <w:rStyle w:val="Hyperlink"/>
            <w:rFonts w:asciiTheme="majorHAnsi" w:hAnsiTheme="majorHAnsi" w:cstheme="majorHAnsi"/>
            <w:noProof/>
          </w:rPr>
          <w:t>Figure 22: Test Example Fault Propagation Model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34</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68" w:history="1">
        <w:r w:rsidR="001A3B0C" w:rsidRPr="001A3B0C">
          <w:rPr>
            <w:rStyle w:val="Hyperlink"/>
            <w:rFonts w:asciiTheme="majorHAnsi" w:hAnsiTheme="majorHAnsi" w:cstheme="majorHAnsi"/>
            <w:noProof/>
          </w:rPr>
          <w:t>Figure 23: Test Example Fault Tree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_Toc525294668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34</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69" w:history="1">
        <w:r w:rsidR="001A3B0C" w:rsidRPr="001A3B0C">
          <w:rPr>
            <w:rStyle w:val="Hyperlink"/>
            <w:rFonts w:asciiTheme="majorHAnsi" w:hAnsiTheme="majorHAnsi" w:cstheme="majorHAnsi"/>
            <w:noProof/>
          </w:rPr>
          <w:t>Figure 24: Test Example Optimized Fault Tree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_Toc525294669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34</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70" w:history="1">
        <w:r w:rsidR="001A3B0C" w:rsidRPr="001A3B0C">
          <w:rPr>
            <w:rStyle w:val="Hyperlink"/>
            <w:rFonts w:asciiTheme="majorHAnsi" w:hAnsiTheme="majorHAnsi" w:cstheme="majorHAnsi"/>
            <w:noProof/>
          </w:rPr>
          <w:t>Figure 25: Overview of Safety Annex/AGREE/OSATE Tool Suite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_Toc525294670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36</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71" w:history="1">
        <w:r w:rsidR="001A3B0C" w:rsidRPr="001A3B0C">
          <w:rPr>
            <w:rStyle w:val="Hyperlink"/>
            <w:rFonts w:asciiTheme="majorHAnsi" w:hAnsiTheme="majorHAnsi" w:cstheme="majorHAnsi"/>
            <w:noProof/>
          </w:rPr>
          <w:t>Figure 26: OSATE Loading Screen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_Toc525294671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37</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72" w:history="1">
        <w:r w:rsidR="001A3B0C" w:rsidRPr="001A3B0C">
          <w:rPr>
            <w:rStyle w:val="Hyperlink"/>
            <w:rFonts w:asciiTheme="majorHAnsi" w:hAnsiTheme="majorHAnsi" w:cstheme="majorHAnsi"/>
            <w:noProof/>
          </w:rPr>
          <w:t>Figure 27: Windows 10 System Control Panel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_Toc525294672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38</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73" w:history="1">
        <w:r w:rsidR="001A3B0C" w:rsidRPr="001A3B0C">
          <w:rPr>
            <w:rStyle w:val="Hyperlink"/>
            <w:rFonts w:asciiTheme="majorHAnsi" w:hAnsiTheme="majorHAnsi" w:cstheme="majorHAnsi"/>
            <w:noProof/>
          </w:rPr>
          <w:t>Figure 28: System Properties Dialog Box</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_Toc525294673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39</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74" w:history="1">
        <w:r w:rsidR="001A3B0C" w:rsidRPr="001A3B0C">
          <w:rPr>
            <w:rStyle w:val="Hyperlink"/>
            <w:rFonts w:asciiTheme="majorHAnsi" w:hAnsiTheme="majorHAnsi" w:cstheme="majorHAnsi"/>
            <w:noProof/>
          </w:rPr>
          <w:t>Figure 29: Environment Variables Dialog Box</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_Toc525294674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39</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75" w:history="1">
        <w:r w:rsidR="001A3B0C" w:rsidRPr="001A3B0C">
          <w:rPr>
            <w:rStyle w:val="Hyperlink"/>
            <w:rFonts w:asciiTheme="majorHAnsi" w:hAnsiTheme="majorHAnsi" w:cstheme="majorHAnsi"/>
            <w:noProof/>
          </w:rPr>
          <w:t>Figure 30: System Variable Text Edit Box</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_Toc525294675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40</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76" w:history="1">
        <w:r w:rsidR="001A3B0C" w:rsidRPr="001A3B0C">
          <w:rPr>
            <w:rStyle w:val="Hyperlink"/>
            <w:rFonts w:asciiTheme="majorHAnsi" w:hAnsiTheme="majorHAnsi" w:cstheme="majorHAnsi"/>
            <w:noProof/>
          </w:rPr>
          <w:t>Figure 31: AGREE Analysis Preferences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41</w:t>
        </w:r>
        <w:r w:rsidR="001A3B0C" w:rsidRPr="001A3B0C">
          <w:rPr>
            <w:rFonts w:asciiTheme="majorHAnsi" w:hAnsiTheme="majorHAnsi" w:cstheme="majorHAnsi"/>
            <w:noProof/>
            <w:webHidden/>
          </w:rPr>
          <w:fldChar w:fldCharType="end"/>
        </w:r>
      </w:hyperlink>
    </w:p>
    <w:p w:rsidR="001A3B0C" w:rsidRPr="001A3B0C" w:rsidRDefault="001B18A0">
      <w:pPr>
        <w:pStyle w:val="TableofFigures"/>
        <w:tabs>
          <w:tab w:val="right" w:leader="dot" w:pos="9350"/>
        </w:tabs>
        <w:rPr>
          <w:rFonts w:asciiTheme="majorHAnsi" w:eastAsiaTheme="minorEastAsia" w:hAnsiTheme="majorHAnsi" w:cstheme="majorHAnsi"/>
          <w:noProof/>
          <w:color w:val="auto"/>
          <w:sz w:val="22"/>
          <w:szCs w:val="22"/>
        </w:rPr>
      </w:pPr>
      <w:hyperlink w:anchor="_Toc525294677" w:history="1">
        <w:r w:rsidR="001A3B0C" w:rsidRPr="001A3B0C">
          <w:rPr>
            <w:rStyle w:val="Hyperlink"/>
            <w:rFonts w:asciiTheme="majorHAnsi" w:hAnsiTheme="majorHAnsi" w:cstheme="majorHAnsi"/>
            <w:noProof/>
          </w:rPr>
          <w:t>Figure 32: Safety Analysis Menu Item</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42</w:t>
        </w:r>
        <w:r w:rsidR="001A3B0C" w:rsidRPr="001A3B0C">
          <w:rPr>
            <w:rFonts w:asciiTheme="majorHAnsi" w:hAnsiTheme="majorHAnsi" w:cstheme="majorHAnsi"/>
            <w:noProof/>
            <w:webHidden/>
          </w:rPr>
          <w:fldChar w:fldCharType="end"/>
        </w:r>
      </w:hyperlink>
    </w:p>
    <w:p w:rsidR="00025792" w:rsidRDefault="00A75C31" w:rsidP="00025792">
      <w:r w:rsidRPr="001A3B0C">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25294698"/>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w:t>
      </w:r>
      <w:r w:rsidRPr="00953006">
        <w:rPr>
          <w:rFonts w:asciiTheme="majorHAnsi" w:hAnsiTheme="majorHAnsi" w:cstheme="majorHAnsi"/>
        </w:rPr>
        <w:lastRenderedPageBreak/>
        <w:t xml:space="preserve">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3" w:name="_Toc525294699"/>
      <w:r>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lastRenderedPageBreak/>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494708"/>
      <w:bookmarkStart w:id="8" w:name="_Toc525294646"/>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3639A5">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bookmarkEnd w:id="8"/>
    </w:p>
    <w:p w:rsidR="00333D56" w:rsidRDefault="00333D56" w:rsidP="00333D56">
      <w:bookmarkStart w:id="9" w:name="_1fob9te" w:colFirst="0" w:colLast="0"/>
      <w:bookmarkEnd w:id="9"/>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0" w:name="_3znysh7" w:colFirst="0" w:colLast="0"/>
      <w:bookmarkEnd w:id="10"/>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5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stuck nondeterministic</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sidRPr="000F42EA">
        <w:rPr>
          <w:rFonts w:ascii="Consolas" w:hAnsi="Consolas" w:cs="Consolas"/>
          <w:sz w:val="18"/>
          <w:szCs w:val="18"/>
        </w:rPr>
        <w:t>nondet_</w:t>
      </w:r>
      <w:proofErr w:type="gramStart"/>
      <w:r w:rsidRPr="000F42EA">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9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 xml:space="preserve">"System input range </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lastRenderedPageBreak/>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 xml:space="preserve">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agree{</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r w:rsidRPr="000F42EA">
        <w:rPr>
          <w:rFonts w:ascii="Consolas" w:hAnsi="Consolas" w:cs="Consolas"/>
          <w:b/>
          <w:bCs/>
          <w:color w:val="7F0055"/>
          <w:sz w:val="18"/>
          <w:szCs w:val="18"/>
        </w:rPr>
        <w:t>.</w:t>
      </w:r>
      <w:r w:rsidRPr="000F42EA">
        <w:rPr>
          <w:rFonts w:ascii="Consolas" w:hAnsi="Consolas" w:cs="Consolas"/>
          <w:sz w:val="18"/>
          <w:szCs w:val="18"/>
        </w:rPr>
        <w:t>mode</w:t>
      </w:r>
      <w:proofErr w:type="spellEnd"/>
      <w:proofErr w:type="gram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1" w:name="_Ref509306800"/>
      <w:bookmarkStart w:id="12" w:name="_Toc509313358"/>
      <w:bookmarkStart w:id="13" w:name="_Toc509494709"/>
      <w:bookmarkStart w:id="14" w:name="_Toc525294647"/>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3639A5">
        <w:rPr>
          <w:noProof/>
          <w:sz w:val="24"/>
          <w:szCs w:val="24"/>
        </w:rPr>
        <w:t>2</w:t>
      </w:r>
      <w:r w:rsidRPr="00685328">
        <w:rPr>
          <w:sz w:val="24"/>
          <w:szCs w:val="24"/>
        </w:rPr>
        <w:fldChar w:fldCharType="end"/>
      </w:r>
      <w:bookmarkEnd w:id="11"/>
      <w:r w:rsidRPr="00685328">
        <w:rPr>
          <w:sz w:val="24"/>
          <w:szCs w:val="24"/>
        </w:rPr>
        <w:t>: AADL Code for Toy Example with AGREE and Safety Annexes</w:t>
      </w:r>
      <w:bookmarkEnd w:id="12"/>
      <w:bookmarkEnd w:id="13"/>
      <w:bookmarkEnd w:id="14"/>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1B18A0"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5" w:name="_Ref509477847"/>
      <w:bookmarkStart w:id="16" w:name="_Toc509494710"/>
      <w:bookmarkStart w:id="17" w:name="_Toc525294648"/>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3639A5">
        <w:rPr>
          <w:noProof/>
          <w:sz w:val="24"/>
          <w:szCs w:val="24"/>
        </w:rPr>
        <w:t>3</w:t>
      </w:r>
      <w:r w:rsidRPr="0052641E">
        <w:rPr>
          <w:sz w:val="24"/>
          <w:szCs w:val="24"/>
        </w:rPr>
        <w:fldChar w:fldCharType="end"/>
      </w:r>
      <w:bookmarkEnd w:id="15"/>
      <w:r w:rsidRPr="0052641E">
        <w:rPr>
          <w:sz w:val="24"/>
          <w:szCs w:val="24"/>
        </w:rPr>
        <w:t>: Fault Hypothesis Example</w:t>
      </w:r>
      <w:bookmarkEnd w:id="16"/>
      <w:bookmarkEnd w:id="17"/>
    </w:p>
    <w:p w:rsidR="00025792" w:rsidRDefault="00025792" w:rsidP="00025792"/>
    <w:p w:rsidR="00025792" w:rsidRDefault="00025792" w:rsidP="00025792">
      <w:pPr>
        <w:pStyle w:val="Heading2"/>
      </w:pPr>
      <w:r>
        <w:t xml:space="preserve"> </w:t>
      </w:r>
      <w:bookmarkStart w:id="18" w:name="_Ref510449007"/>
      <w:bookmarkStart w:id="19" w:name="_Toc525294700"/>
      <w:r>
        <w:t>Using the Safety Annex AADL Plugin</w:t>
      </w:r>
      <w:bookmarkEnd w:id="18"/>
      <w:bookmarkEnd w:id="19"/>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1B18A0" w:rsidP="00CD5288">
      <w:pPr>
        <w:rPr>
          <w:rFonts w:asciiTheme="majorHAnsi" w:hAnsiTheme="majorHAnsi"/>
        </w:rPr>
      </w:pPr>
      <w:hyperlink r:id="rId9"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3639A5">
        <w:rPr>
          <w:rFonts w:asciiTheme="majorHAnsi" w:hAnsiTheme="majorHAnsi"/>
        </w:rPr>
        <w:t>7</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0" w:name="_Toc509313359"/>
      <w:bookmarkStart w:id="21" w:name="_Toc509494711"/>
      <w:bookmarkStart w:id="22" w:name="_Toc52529464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4</w:t>
      </w:r>
      <w:r w:rsidRPr="008F737F">
        <w:rPr>
          <w:sz w:val="24"/>
          <w:szCs w:val="24"/>
        </w:rPr>
        <w:fldChar w:fldCharType="end"/>
      </w:r>
      <w:r w:rsidRPr="008F737F">
        <w:rPr>
          <w:sz w:val="24"/>
          <w:szCs w:val="24"/>
        </w:rPr>
        <w:t>: Import Menu Option</w:t>
      </w:r>
      <w:bookmarkEnd w:id="20"/>
      <w:bookmarkEnd w:id="21"/>
      <w:bookmarkEnd w:id="22"/>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3" w:name="_Toc509313360"/>
      <w:bookmarkStart w:id="24" w:name="_Toc509494712"/>
      <w:bookmarkStart w:id="25" w:name="_Toc52529465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5</w:t>
      </w:r>
      <w:r w:rsidRPr="008F737F">
        <w:rPr>
          <w:sz w:val="24"/>
          <w:szCs w:val="24"/>
        </w:rPr>
        <w:fldChar w:fldCharType="end"/>
      </w:r>
      <w:r w:rsidRPr="008F737F">
        <w:rPr>
          <w:sz w:val="24"/>
          <w:szCs w:val="24"/>
        </w:rPr>
        <w:t>: Importing Toy Example Project</w:t>
      </w:r>
      <w:bookmarkEnd w:id="23"/>
      <w:bookmarkEnd w:id="24"/>
      <w:bookmarkEnd w:id="25"/>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6" w:name="_Ref509306911"/>
      <w:bookmarkStart w:id="27" w:name="_Toc509313361"/>
      <w:bookmarkStart w:id="28" w:name="_Toc509494713"/>
      <w:bookmarkStart w:id="29" w:name="_Toc52529465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6</w:t>
      </w:r>
      <w:r w:rsidRPr="008F737F">
        <w:rPr>
          <w:sz w:val="24"/>
          <w:szCs w:val="24"/>
        </w:rPr>
        <w:fldChar w:fldCharType="end"/>
      </w:r>
      <w:bookmarkEnd w:id="26"/>
      <w:r w:rsidRPr="008F737F">
        <w:rPr>
          <w:sz w:val="24"/>
          <w:szCs w:val="24"/>
        </w:rPr>
        <w:t>: Workspace After Importing Toy Example</w:t>
      </w:r>
      <w:bookmarkEnd w:id="27"/>
      <w:bookmarkEnd w:id="28"/>
      <w:bookmarkEnd w:id="29"/>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0" w:name="_Ref509306884"/>
      <w:bookmarkStart w:id="31" w:name="_Toc509313362"/>
      <w:bookmarkStart w:id="32" w:name="_Toc509494714"/>
      <w:bookmarkStart w:id="33" w:name="_Toc52529465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7</w:t>
      </w:r>
      <w:r w:rsidRPr="008F737F">
        <w:rPr>
          <w:sz w:val="24"/>
          <w:szCs w:val="24"/>
        </w:rPr>
        <w:fldChar w:fldCharType="end"/>
      </w:r>
      <w:bookmarkEnd w:id="30"/>
      <w:r w:rsidRPr="008F737F">
        <w:rPr>
          <w:sz w:val="24"/>
          <w:szCs w:val="24"/>
        </w:rPr>
        <w:t>: AGREE and Safety Analysis Dropdown Menu</w:t>
      </w:r>
      <w:bookmarkEnd w:id="31"/>
      <w:bookmarkEnd w:id="32"/>
      <w:bookmarkEnd w:id="33"/>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4" w:name="_Ref509306863"/>
      <w:bookmarkStart w:id="35" w:name="_Toc509313363"/>
      <w:bookmarkStart w:id="36" w:name="_Toc509494715"/>
      <w:bookmarkStart w:id="37" w:name="_Toc52529465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8</w:t>
      </w:r>
      <w:r w:rsidRPr="008F737F">
        <w:rPr>
          <w:sz w:val="24"/>
          <w:szCs w:val="24"/>
        </w:rPr>
        <w:fldChar w:fldCharType="end"/>
      </w:r>
      <w:bookmarkEnd w:id="34"/>
      <w:r w:rsidRPr="008F737F">
        <w:rPr>
          <w:sz w:val="24"/>
          <w:szCs w:val="24"/>
        </w:rPr>
        <w:t>:AGREE Verification Results</w:t>
      </w:r>
      <w:bookmarkEnd w:id="35"/>
      <w:bookmarkEnd w:id="36"/>
      <w:bookmarkEnd w:id="37"/>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8" w:name="_Ref509306825"/>
      <w:bookmarkStart w:id="39" w:name="_Toc509313364"/>
      <w:bookmarkStart w:id="40" w:name="_Toc509494716"/>
      <w:bookmarkStart w:id="41" w:name="_Toc52529465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9</w:t>
      </w:r>
      <w:r w:rsidRPr="008F737F">
        <w:rPr>
          <w:sz w:val="24"/>
          <w:szCs w:val="24"/>
        </w:rPr>
        <w:fldChar w:fldCharType="end"/>
      </w:r>
      <w:bookmarkEnd w:id="38"/>
      <w:r w:rsidRPr="008F737F">
        <w:rPr>
          <w:sz w:val="24"/>
          <w:szCs w:val="24"/>
        </w:rPr>
        <w:t>: Counterexample from Safety Analysis</w:t>
      </w:r>
      <w:bookmarkEnd w:id="39"/>
      <w:bookmarkEnd w:id="40"/>
      <w:bookmarkEnd w:id="41"/>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Note: In order to use this capability, you must have Excel installed on your computer.  Also,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2" w:name="_Ref509306751"/>
      <w:bookmarkStart w:id="43" w:name="_Ref509306742"/>
      <w:bookmarkStart w:id="44" w:name="_Toc509313365"/>
      <w:bookmarkStart w:id="45" w:name="_Toc509494717"/>
      <w:bookmarkStart w:id="46" w:name="_Toc52529465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10</w:t>
      </w:r>
      <w:r w:rsidRPr="008F737F">
        <w:rPr>
          <w:sz w:val="24"/>
          <w:szCs w:val="24"/>
        </w:rPr>
        <w:fldChar w:fldCharType="end"/>
      </w:r>
      <w:bookmarkEnd w:id="42"/>
      <w:r w:rsidRPr="008F737F">
        <w:rPr>
          <w:sz w:val="24"/>
          <w:szCs w:val="24"/>
        </w:rPr>
        <w:t>: Generated Excel File for Counterexample</w:t>
      </w:r>
      <w:bookmarkEnd w:id="43"/>
      <w:bookmarkEnd w:id="44"/>
      <w:bookmarkEnd w:id="45"/>
      <w:bookmarkEnd w:id="4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7" w:name="_Toc525294701"/>
      <w:r>
        <w:lastRenderedPageBreak/>
        <w:t>Safety Annex Language</w:t>
      </w:r>
      <w:bookmarkEnd w:id="4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8" w:name="_Toc525294702"/>
      <w:r>
        <w:t>Syntax Overview</w:t>
      </w:r>
      <w:bookmarkEnd w:id="4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proofErr w:type="spellStart"/>
      <w:r w:rsidRPr="00660740">
        <w:rPr>
          <w:rFonts w:asciiTheme="majorHAnsi" w:eastAsia="Carlito" w:hAnsiTheme="majorHAnsi" w:cstheme="majorHAnsi"/>
        </w:rPr>
        <w:t>Users Manual</w:t>
      </w:r>
      <w:proofErr w:type="spellEnd"/>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49" w:name="_Toc525294703"/>
      <w:r>
        <w:lastRenderedPageBreak/>
        <w:t>Lexical Elements and Types</w:t>
      </w:r>
      <w:bookmarkEnd w:id="4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proofErr w:type="gramStart"/>
      <w:r w:rsidRPr="002363B4">
        <w:rPr>
          <w:rFonts w:ascii="Consolas" w:eastAsia="Courier" w:hAnsi="Consolas" w:cs="Courier"/>
        </w:rPr>
        <w:t>ID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('_')? </w:t>
      </w:r>
      <w:proofErr w:type="spellStart"/>
      <w:r w:rsidRPr="002363B4">
        <w:rPr>
          <w:rFonts w:ascii="Consolas" w:eastAsia="Courier" w:hAnsi="Consolas" w:cs="Courier"/>
        </w:rPr>
        <w:t>letter_or_digit</w:t>
      </w:r>
      <w:proofErr w:type="spellEnd"/>
      <w:r w:rsidRPr="002363B4">
        <w:rPr>
          <w:rFonts w:ascii="Consolas" w:eastAsia="Courier" w:hAnsi="Consolas" w:cs="Courier"/>
        </w:rPr>
        <w:t>)*</w:t>
      </w:r>
      <w:r w:rsidRPr="002363B4">
        <w:rPr>
          <w:rFonts w:ascii="Consolas" w:eastAsia="Courier" w:hAnsi="Consolas" w:cs="Courier"/>
        </w:rPr>
        <w:tab/>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letter_or_</w:t>
      </w:r>
      <w:proofErr w:type="gramStart"/>
      <w:r w:rsidRPr="002363B4">
        <w:rPr>
          <w:rFonts w:ascii="Consolas" w:eastAsia="Courier" w:hAnsi="Consolas" w:cs="Courier"/>
        </w:rPr>
        <w:t>digit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digit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identifier_</w:t>
      </w:r>
      <w:proofErr w:type="gramStart"/>
      <w:r w:rsidRPr="002363B4">
        <w:rPr>
          <w:rFonts w:ascii="Consolas" w:eastAsia="Courier" w:hAnsi="Consolas" w:cs="Courier"/>
        </w:rPr>
        <w:t>letter</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('A'..'Z' | '</w:t>
      </w:r>
      <w:proofErr w:type="spellStart"/>
      <w:r w:rsidRPr="002363B4">
        <w:rPr>
          <w:rFonts w:ascii="Consolas" w:eastAsia="Courier" w:hAnsi="Consolas" w:cs="Courier"/>
        </w:rPr>
        <w:t>a'..'z</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xml:space="preserve">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xml:space="preserve">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rsidRPr="00660740">
        <w:rPr>
          <w:rFonts w:asciiTheme="majorHAnsi" w:hAnsiTheme="majorHAnsi" w:cstheme="majorHAnsi"/>
        </w:rPr>
        <w:t>:</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xml:space="preserve">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50" w:name="_4d34og8" w:colFirst="0" w:colLast="0"/>
      <w:bookmarkEnd w:id="50"/>
    </w:p>
    <w:p w:rsidR="00453DB3" w:rsidRDefault="00453DB3" w:rsidP="00453DB3">
      <w:pPr>
        <w:keepNext/>
      </w:pPr>
      <w:r>
        <w:rPr>
          <w:rFonts w:ascii="Calibri" w:eastAsia="Calibri" w:hAnsi="Calibri" w:cs="Calibri"/>
          <w:b/>
          <w:noProof/>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1" w:name="_Toc509313366"/>
      <w:bookmarkStart w:id="52" w:name="_Toc509494718"/>
      <w:bookmarkStart w:id="53" w:name="_Toc525294656"/>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3639A5">
        <w:rPr>
          <w:noProof/>
          <w:sz w:val="24"/>
          <w:szCs w:val="24"/>
        </w:rPr>
        <w:t>11</w:t>
      </w:r>
      <w:r w:rsidRPr="00B73AB9">
        <w:rPr>
          <w:sz w:val="24"/>
          <w:szCs w:val="24"/>
        </w:rPr>
        <w:fldChar w:fldCharType="end"/>
      </w:r>
      <w:r w:rsidRPr="00B73AB9">
        <w:rPr>
          <w:sz w:val="24"/>
          <w:szCs w:val="24"/>
        </w:rPr>
        <w:t>: Medical Device Example</w:t>
      </w:r>
      <w:bookmarkEnd w:id="51"/>
      <w:bookmarkEnd w:id="52"/>
      <w:bookmarkEnd w:id="53"/>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4" w:name="_Toc525294704"/>
      <w:proofErr w:type="spellStart"/>
      <w:r>
        <w:t>Subclauses</w:t>
      </w:r>
      <w:bookmarkEnd w:id="54"/>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it is possible to refer to the features and properties of the enclosing component as well as the inputs and outputs of subcomponents (if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AnalysisBehavior</w:t>
      </w:r>
      <w:proofErr w:type="spellEnd"/>
      <w:proofErr w:type="gramEnd"/>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w:t>
      </w:r>
      <w:proofErr w:type="spellStart"/>
      <w:r w:rsidR="004763F7" w:rsidRPr="00942C77">
        <w:rPr>
          <w:rFonts w:ascii="Consolas" w:eastAsia="Courier" w:hAnsi="Consolas" w:cs="Courier"/>
          <w:color w:val="2A00FF"/>
          <w:sz w:val="20"/>
          <w:szCs w:val="20"/>
        </w:rPr>
        <w:t>hw_fault</w:t>
      </w:r>
      <w:proofErr w:type="spellEnd"/>
      <w:r w:rsidR="004763F7" w:rsidRPr="00942C77">
        <w:rPr>
          <w:rFonts w:ascii="Consolas" w:eastAsia="Courier" w:hAnsi="Consolas" w:cs="Courier"/>
          <w:color w:val="2A00FF"/>
          <w:sz w:val="20"/>
          <w:szCs w:val="20"/>
        </w:rPr>
        <w:t xml:space="preserv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ID</w:t>
      </w:r>
      <w:proofErr w:type="gramEnd"/>
      <w:r w:rsidR="004763F7" w:rsidRPr="00942C77">
        <w:rPr>
          <w:rFonts w:ascii="Consolas" w:eastAsia="Courier" w:hAnsi="Consolas" w:cs="Courier"/>
          <w:color w:val="3C3C3C"/>
          <w:sz w:val="20"/>
          <w:szCs w:val="20"/>
        </w:rPr>
        <w:t xml:space="preserve">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HWFaultSubcomponent</w:t>
      </w:r>
      <w:proofErr w:type="spellEnd"/>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proofErr w:type="spellStart"/>
      <w:r w:rsidRPr="00942C77">
        <w:rPr>
          <w:rFonts w:ascii="Consolas" w:eastAsia="Courier" w:hAnsi="Consolas" w:cs="Courier"/>
          <w:color w:val="3C3C3C"/>
          <w:sz w:val="20"/>
          <w:szCs w:val="20"/>
        </w:rPr>
        <w:t>AnalysisBehavior</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Int_Literal</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proofErr w:type="spellStart"/>
      <w:r w:rsidRPr="00942C77">
        <w:rPr>
          <w:rFonts w:ascii="Consolas" w:eastAsia="Courier" w:hAnsi="Consolas" w:cs="Courier"/>
          <w:color w:val="3C3C3C"/>
          <w:sz w:val="20"/>
          <w:szCs w:val="20"/>
        </w:rPr>
        <w:t>Real_Literal</w:t>
      </w:r>
      <w:proofErr w:type="spellEnd"/>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u w:val="single"/>
        </w:rPr>
        <w:t>eq</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55" w:name="_17dp8vu" w:colFirst="0" w:colLast="0"/>
      <w:bookmarkEnd w:id="55"/>
      <w:r>
        <w:rPr>
          <w:rFonts w:ascii="Calibri" w:eastAsia="Calibri" w:hAnsi="Calibri" w:cs="Calibri"/>
          <w:b/>
          <w:noProof/>
        </w:rPr>
        <w:drawing>
          <wp:inline distT="0" distB="0" distL="0" distR="0" wp14:anchorId="21EEC006" wp14:editId="5F4976BA">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6" w:name="_Toc509313367"/>
      <w:bookmarkStart w:id="57" w:name="_Toc509494719"/>
      <w:bookmarkStart w:id="58" w:name="_Toc525294657"/>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3639A5">
        <w:rPr>
          <w:noProof/>
          <w:sz w:val="24"/>
          <w:szCs w:val="24"/>
        </w:rPr>
        <w:t>12</w:t>
      </w:r>
      <w:r w:rsidRPr="00A93327">
        <w:rPr>
          <w:sz w:val="24"/>
          <w:szCs w:val="24"/>
        </w:rPr>
        <w:fldChar w:fldCharType="end"/>
      </w:r>
      <w:r w:rsidRPr="00A93327">
        <w:rPr>
          <w:sz w:val="24"/>
          <w:szCs w:val="24"/>
        </w:rPr>
        <w:t>: Safety Annex Grammar</w:t>
      </w:r>
      <w:bookmarkEnd w:id="56"/>
      <w:bookmarkEnd w:id="57"/>
      <w:bookmarkEnd w:id="58"/>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either within an AADL component or component implementation. </w:t>
      </w:r>
    </w:p>
    <w:p w:rsidR="00025792" w:rsidRDefault="00025792" w:rsidP="00025792"/>
    <w:p w:rsidR="00025792" w:rsidRDefault="00025792" w:rsidP="00025792">
      <w:pPr>
        <w:pStyle w:val="Heading2"/>
      </w:pPr>
      <w:r>
        <w:t xml:space="preserve"> </w:t>
      </w:r>
      <w:bookmarkStart w:id="59" w:name="_Toc525294705"/>
      <w:r>
        <w:t>Spec Statement</w:t>
      </w:r>
      <w:bookmarkEnd w:id="59"/>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205CA187" wp14:editId="1CAD775C">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60" w:name="_Ref509311632"/>
      <w:bookmarkStart w:id="61" w:name="_Toc509313368"/>
      <w:bookmarkStart w:id="62" w:name="_Toc509494720"/>
      <w:bookmarkStart w:id="63" w:name="_Toc525294658"/>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3639A5">
        <w:rPr>
          <w:noProof/>
          <w:sz w:val="24"/>
          <w:szCs w:val="24"/>
        </w:rPr>
        <w:t>13</w:t>
      </w:r>
      <w:r w:rsidRPr="00C8528D">
        <w:rPr>
          <w:sz w:val="24"/>
          <w:szCs w:val="24"/>
        </w:rPr>
        <w:fldChar w:fldCharType="end"/>
      </w:r>
      <w:bookmarkEnd w:id="60"/>
      <w:r w:rsidRPr="00C8528D">
        <w:rPr>
          <w:sz w:val="24"/>
          <w:szCs w:val="24"/>
        </w:rPr>
        <w:t>: Fault Node Definition</w:t>
      </w:r>
      <w:bookmarkEnd w:id="61"/>
      <w:bookmarkEnd w:id="62"/>
      <w:bookmarkEnd w:id="63"/>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64" w:name="_Toc525294706"/>
      <w:r>
        <w:t>Fault Statement</w:t>
      </w:r>
      <w:bookmarkEnd w:id="64"/>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65" w:name="_Toc525294707"/>
      <w:r>
        <w:t>Input Statement</w:t>
      </w:r>
      <w:bookmarkEnd w:id="65"/>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proofErr w:type="spellStart"/>
      <w:r w:rsidRPr="00E55DB4">
        <w:rPr>
          <w:rFonts w:asciiTheme="majorHAnsi" w:eastAsia="Courier" w:hAnsiTheme="majorHAnsi" w:cstheme="majorHAnsi"/>
          <w:i/>
        </w:rPr>
        <w:t>fail_to</w:t>
      </w:r>
      <w:proofErr w:type="spellEnd"/>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13</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proofErr w:type="spellStart"/>
      <w:r w:rsidRPr="00E55DB4">
        <w:rPr>
          <w:rFonts w:asciiTheme="majorHAnsi" w:eastAsia="Courier" w:hAnsiTheme="majorHAnsi" w:cstheme="majorHAnsi"/>
          <w:i/>
        </w:rPr>
        <w:t>val_in</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proofErr w:type="spellStart"/>
      <w:r w:rsidRPr="00E55DB4">
        <w:rPr>
          <w:rFonts w:asciiTheme="majorHAnsi" w:eastAsia="Courier" w:hAnsiTheme="majorHAnsi" w:cstheme="majorHAnsi"/>
          <w:i/>
        </w:rPr>
        <w:t>alt_val</w:t>
      </w:r>
      <w:proofErr w:type="spellEnd"/>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w:t>
      </w:r>
      <w:proofErr w:type="spellStart"/>
      <w:r w:rsidRPr="00E55DB4">
        <w:rPr>
          <w:rFonts w:asciiTheme="majorHAnsi" w:eastAsia="Carlito" w:hAnsiTheme="majorHAnsi" w:cstheme="majorHAnsi"/>
        </w:rPr>
        <w:t>boolean</w:t>
      </w:r>
      <w:proofErr w:type="spellEnd"/>
      <w:r w:rsidRPr="00E55DB4">
        <w:rPr>
          <w:rFonts w:asciiTheme="majorHAnsi" w:eastAsia="Carlito" w:hAnsiTheme="majorHAnsi" w:cstheme="majorHAnsi"/>
        </w:rPr>
        <w:t xml:space="preserve"> or arithmetic expressions as well as AADL Data Implementation variables. The following is an example of an input statement using the </w:t>
      </w:r>
      <w:proofErr w:type="spellStart"/>
      <w:r w:rsidRPr="00E55DB4">
        <w:rPr>
          <w:rFonts w:asciiTheme="majorHAnsi" w:eastAsia="Courier" w:hAnsiTheme="majorHAnsi" w:cstheme="majorHAnsi"/>
          <w:i/>
        </w:rPr>
        <w:t>fail_to</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proofErr w:type="spellStart"/>
      <w:r w:rsidRPr="004A3EFA">
        <w:rPr>
          <w:rFonts w:asciiTheme="majorHAnsi" w:eastAsia="Courier" w:hAnsiTheme="majorHAnsi" w:cstheme="majorHAnsi"/>
          <w:i/>
        </w:rPr>
        <w:t>val_in</w:t>
      </w:r>
      <w:proofErr w:type="spellEnd"/>
      <w:r w:rsidRPr="00BA763E">
        <w:rPr>
          <w:rFonts w:asciiTheme="majorHAnsi" w:eastAsia="Carlito" w:hAnsiTheme="majorHAnsi" w:cstheme="majorHAnsi"/>
        </w:rPr>
        <w:t xml:space="preserve"> parameter and likewise the value associated </w:t>
      </w:r>
      <w:proofErr w:type="gramStart"/>
      <w:r w:rsidRPr="00BA763E">
        <w:rPr>
          <w:rFonts w:asciiTheme="majorHAnsi" w:eastAsia="Carlito" w:hAnsiTheme="majorHAnsi" w:cstheme="majorHAnsi"/>
        </w:rPr>
        <w:t xml:space="preserve">with  </w:t>
      </w:r>
      <w:proofErr w:type="spellStart"/>
      <w:r w:rsidRPr="000F42EA">
        <w:rPr>
          <w:rFonts w:ascii="Consolas" w:hAnsi="Consolas" w:cs="Consolas"/>
          <w:b/>
          <w:bCs/>
          <w:color w:val="7F0055"/>
          <w:sz w:val="18"/>
          <w:szCs w:val="18"/>
        </w:rPr>
        <w:t>prev</w:t>
      </w:r>
      <w:proofErr w:type="spellEnd"/>
      <w:proofErr w:type="gram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proofErr w:type="spellStart"/>
      <w:r w:rsidR="004A3EFA">
        <w:rPr>
          <w:rFonts w:asciiTheme="majorHAnsi" w:eastAsia="Carlito" w:hAnsiTheme="majorHAnsi" w:cstheme="majorHAnsi"/>
          <w:i/>
        </w:rPr>
        <w:t>alt_val</w:t>
      </w:r>
      <w:proofErr w:type="spellEnd"/>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66" w:name="_Toc525294708"/>
      <w:r>
        <w:t>Output Statement</w:t>
      </w:r>
      <w:bookmarkEnd w:id="66"/>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proofErr w:type="spellStart"/>
      <w:r w:rsidRPr="000235D2">
        <w:rPr>
          <w:rFonts w:asciiTheme="majorHAnsi" w:eastAsia="Courier" w:hAnsiTheme="majorHAnsi" w:cstheme="majorHAnsi"/>
          <w:i/>
        </w:rPr>
        <w:t>fail_to</w:t>
      </w:r>
      <w:proofErr w:type="spellEnd"/>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67" w:name="_Toc525294709"/>
      <w:r>
        <w:t>Duration Statement</w:t>
      </w:r>
      <w:bookmarkEnd w:id="67"/>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68" w:name="_Toc525294710"/>
      <w:r>
        <w:lastRenderedPageBreak/>
        <w:t>Trigger Statement</w:t>
      </w:r>
      <w:bookmarkEnd w:id="68"/>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proofErr w:type="spellStart"/>
      <w:r w:rsidRPr="00185AEB">
        <w:rPr>
          <w:rFonts w:ascii="Consolas" w:eastAsia="Courier" w:hAnsi="Consolas" w:cs="Courier"/>
          <w:color w:val="3C3C3C"/>
          <w:sz w:val="20"/>
          <w:szCs w:val="20"/>
        </w:rPr>
        <w:t>TriggerCondition</w:t>
      </w:r>
      <w:proofErr w:type="spellEnd"/>
      <w:r w:rsidRPr="00185AEB">
        <w:rPr>
          <w:rFonts w:ascii="Consolas" w:eastAsia="Courier" w:hAnsi="Consolas" w:cs="Courier"/>
          <w:color w:val="3C3C3C"/>
          <w:sz w:val="20"/>
          <w:szCs w:val="20"/>
        </w:rPr>
        <w:t>:</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roofErr w:type="gramStart"/>
      <w:r w:rsidR="004C71B8" w:rsidRPr="00185AEB">
        <w:rPr>
          <w:rFonts w:ascii="Consolas" w:eastAsia="Courier" w:hAnsi="Consolas" w:cs="Courier"/>
          <w:color w:val="3C3C3C"/>
          <w:sz w:val="20"/>
          <w:szCs w:val="20"/>
        </w:rPr>
        <w:t>Expr)*</w:t>
      </w:r>
      <w:proofErr w:type="gramEnd"/>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69" w:name="_Toc525294711"/>
      <w:r>
        <w:t>Probability Statement</w:t>
      </w:r>
      <w:bookmarkEnd w:id="69"/>
    </w:p>
    <w:p w:rsidR="00B55020" w:rsidRDefault="0004389C" w:rsidP="0004389C">
      <w:pPr>
        <w:rPr>
          <w:rFonts w:asciiTheme="majorHAnsi" w:hAnsiTheme="majorHAnsi"/>
        </w:rPr>
      </w:pPr>
      <w:r>
        <w:rPr>
          <w:rFonts w:asciiTheme="majorHAnsi" w:hAnsiTheme="majorHAnsi"/>
        </w:rPr>
        <w:t xml:space="preserve">Currently the annex supports top level probabilistic analysis through the use of analysis statements. An analysis statement is given at the top level of the system implementation under analysis. It will specify the type of analysis to perform. Only one type is permitted to be specified for a single analysis run. There are two kinds of analysis that can be requested by the user. Maximum number of faults present in the system or a probabilistic analysis. These are described in Section 5.4.2. </w:t>
      </w:r>
    </w:p>
    <w:p w:rsidR="0004389C" w:rsidRDefault="0004389C" w:rsidP="0004389C"/>
    <w:p w:rsidR="00B55020" w:rsidRDefault="00D44F19" w:rsidP="00B55020">
      <w:pPr>
        <w:pStyle w:val="Heading4"/>
      </w:pPr>
      <w:bookmarkStart w:id="70" w:name="_Ref509392770"/>
      <w:bookmarkStart w:id="71" w:name="_Toc525294712"/>
      <w:r>
        <w:t xml:space="preserve">Propagation </w:t>
      </w:r>
      <w:r w:rsidR="00B55020">
        <w:t>Statement</w:t>
      </w:r>
      <w:bookmarkEnd w:id="70"/>
      <w:bookmarkEnd w:id="71"/>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14</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45C8CA8E" wp14:editId="430F8406">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72" w:name="_Ref514679717"/>
      <w:bookmarkStart w:id="73" w:name="_Toc509494721"/>
      <w:bookmarkStart w:id="74" w:name="_Ref514679664"/>
      <w:bookmarkStart w:id="75" w:name="_Toc525294659"/>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3639A5">
        <w:rPr>
          <w:noProof/>
          <w:sz w:val="24"/>
          <w:szCs w:val="24"/>
        </w:rPr>
        <w:t>14</w:t>
      </w:r>
      <w:r w:rsidRPr="00726072">
        <w:rPr>
          <w:sz w:val="24"/>
          <w:szCs w:val="24"/>
        </w:rPr>
        <w:fldChar w:fldCharType="end"/>
      </w:r>
      <w:bookmarkEnd w:id="72"/>
      <w:r w:rsidRPr="00726072">
        <w:rPr>
          <w:sz w:val="24"/>
          <w:szCs w:val="24"/>
        </w:rPr>
        <w:t>: Propagation Statement Example</w:t>
      </w:r>
      <w:bookmarkEnd w:id="73"/>
      <w:bookmarkEnd w:id="74"/>
      <w:bookmarkEnd w:id="75"/>
    </w:p>
    <w:p w:rsidR="009335EC" w:rsidRDefault="009335EC" w:rsidP="00157241"/>
    <w:p w:rsidR="00B55020" w:rsidRDefault="00B55020" w:rsidP="00B55020">
      <w:pPr>
        <w:pStyle w:val="Heading4"/>
      </w:pPr>
      <w:bookmarkStart w:id="76" w:name="_Toc525294713"/>
      <w:r>
        <w:lastRenderedPageBreak/>
        <w:t>Safety Eq</w:t>
      </w:r>
      <w:r w:rsidR="00513010">
        <w:t>uation</w:t>
      </w:r>
      <w:r>
        <w:t xml:space="preserve"> Statement</w:t>
      </w:r>
      <w:r w:rsidR="00184CA7">
        <w:t>s</w:t>
      </w:r>
      <w:bookmarkEnd w:id="76"/>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77" w:name="_Toc525294714"/>
      <w:proofErr w:type="spellStart"/>
      <w:r>
        <w:t>Eq</w:t>
      </w:r>
      <w:proofErr w:type="spellEnd"/>
      <w:r>
        <w:t xml:space="preserve"> Statements</w:t>
      </w:r>
      <w:bookmarkEnd w:id="77"/>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78" w:name="_Toc525294715"/>
      <w:r>
        <w:t>Set Statements</w:t>
      </w:r>
      <w:bookmarkEnd w:id="78"/>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proofErr w:type="gramStart"/>
      <w:r w:rsidRPr="00211843">
        <w:rPr>
          <w:rFonts w:asciiTheme="majorHAnsi" w:eastAsia="Courier" w:hAnsiTheme="majorHAnsi" w:cstheme="majorHAnsi"/>
          <w:b/>
          <w:color w:val="7F0055"/>
        </w:rPr>
        <w:t>} ;</w:t>
      </w:r>
      <w:proofErr w:type="gramEnd"/>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79" w:name="_4i7ojhp" w:colFirst="0" w:colLast="0"/>
      <w:bookmarkEnd w:id="79"/>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set</w:t>
      </w:r>
      <w:proofErr w:type="gramEnd"/>
      <w:r w:rsidRPr="00211843">
        <w:rPr>
          <w:rFonts w:asciiTheme="majorHAnsi" w:eastAsia="Courier" w:hAnsiTheme="majorHAnsi" w:cstheme="majorHAnsi"/>
        </w:rPr>
        <w:t>_values</w:t>
      </w:r>
      <w:proofErr w:type="spellEnd"/>
      <w:r w:rsidRPr="00211843">
        <w:rPr>
          <w:rFonts w:asciiTheme="majorHAnsi" w:eastAsia="Courier" w:hAnsiTheme="majorHAnsi" w:cstheme="majorHAnsi"/>
        </w:rPr>
        <w:t xml:space="preserve">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80" w:name="_Toc525294716"/>
      <w:r>
        <w:t>Range Statements</w:t>
      </w:r>
      <w:bookmarkEnd w:id="80"/>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lastRenderedPageBreak/>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proofErr w:type="spellStart"/>
      <w:r w:rsidRPr="00211843">
        <w:rPr>
          <w:rFonts w:asciiTheme="majorHAnsi" w:eastAsia="Courier" w:hAnsiTheme="majorHAnsi" w:cstheme="majorHAnsi"/>
        </w:rPr>
        <w:t>range_values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proofErr w:type="gramStart"/>
      <w:r w:rsidRPr="00211843">
        <w:rPr>
          <w:rFonts w:asciiTheme="majorHAnsi" w:eastAsia="Courier" w:hAnsiTheme="majorHAnsi" w:cstheme="majorHAnsi"/>
          <w:b/>
          <w:color w:val="7F0055"/>
        </w:rPr>
        <w:t>} ;</w:t>
      </w:r>
      <w:proofErr w:type="gramEnd"/>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range</w:t>
      </w:r>
      <w:proofErr w:type="gramEnd"/>
      <w:r w:rsidRPr="00211843">
        <w:rPr>
          <w:rFonts w:asciiTheme="majorHAnsi" w:eastAsia="Courier" w:hAnsiTheme="majorHAnsi" w:cstheme="majorHAnsi"/>
        </w:rPr>
        <w:t>_values</w:t>
      </w:r>
      <w:proofErr w:type="spellEnd"/>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81" w:name="_Toc525294717"/>
      <w:r>
        <w:t>Interval Statements</w:t>
      </w:r>
      <w:bookmarkEnd w:id="81"/>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input_values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82" w:name="_Toc525294718"/>
      <w:r>
        <w:lastRenderedPageBreak/>
        <w:t>Analysis Statement</w:t>
      </w:r>
      <w:bookmarkEnd w:id="82"/>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p>
    <w:p w:rsidR="0096017D" w:rsidRDefault="0096017D" w:rsidP="0055626F"/>
    <w:p w:rsidR="0055626F" w:rsidRDefault="0055626F" w:rsidP="0055626F">
      <w:pPr>
        <w:pStyle w:val="Heading4"/>
      </w:pPr>
      <w:bookmarkStart w:id="83" w:name="_Toc525294719"/>
      <w:r>
        <w:t>Max N Faults Analysis</w:t>
      </w:r>
      <w:bookmarkEnd w:id="83"/>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1B18A0" w:rsidP="00522ABB">
      <w:pPr>
        <w:keepNext/>
        <w:jc w:val="center"/>
      </w:pPr>
      <w:r>
        <w:pict>
          <v:shape id="_x0000_i1026" type="#_x0000_t75" style="width:146.5pt;height:64pt">
            <v:imagedata r:id="rId20" o:title="maxfault"/>
          </v:shape>
        </w:pict>
      </w:r>
    </w:p>
    <w:p w:rsidR="003E0347" w:rsidRPr="00522ABB" w:rsidRDefault="00522ABB" w:rsidP="00522ABB">
      <w:pPr>
        <w:pStyle w:val="Caption"/>
        <w:jc w:val="center"/>
        <w:rPr>
          <w:sz w:val="24"/>
          <w:szCs w:val="24"/>
        </w:rPr>
      </w:pPr>
      <w:bookmarkStart w:id="84" w:name="_Ref509392264"/>
      <w:bookmarkStart w:id="85" w:name="_Toc509494722"/>
      <w:bookmarkStart w:id="86" w:name="_Toc525294660"/>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3639A5">
        <w:rPr>
          <w:noProof/>
          <w:sz w:val="24"/>
          <w:szCs w:val="24"/>
        </w:rPr>
        <w:t>15</w:t>
      </w:r>
      <w:r w:rsidRPr="00522ABB">
        <w:rPr>
          <w:sz w:val="24"/>
          <w:szCs w:val="24"/>
        </w:rPr>
        <w:fldChar w:fldCharType="end"/>
      </w:r>
      <w:bookmarkEnd w:id="84"/>
      <w:r w:rsidRPr="00522ABB">
        <w:rPr>
          <w:sz w:val="24"/>
          <w:szCs w:val="24"/>
        </w:rPr>
        <w:t>: Max One Fault Example</w:t>
      </w:r>
      <w:bookmarkEnd w:id="85"/>
      <w:bookmarkEnd w:id="86"/>
    </w:p>
    <w:p w:rsidR="00D87CC9" w:rsidRDefault="00D87CC9" w:rsidP="0055626F"/>
    <w:p w:rsidR="0055626F" w:rsidRPr="0055626F" w:rsidRDefault="0055626F" w:rsidP="0055626F">
      <w:pPr>
        <w:pStyle w:val="Heading4"/>
      </w:pPr>
      <w:bookmarkStart w:id="87" w:name="_Ref509393241"/>
      <w:bookmarkStart w:id="88" w:name="_Toc525294720"/>
      <w:r>
        <w:t>Probabilistic Analysis</w:t>
      </w:r>
      <w:bookmarkEnd w:id="87"/>
      <w:bookmarkEnd w:id="88"/>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1B18A0" w:rsidP="00522ABB">
      <w:pPr>
        <w:keepNext/>
        <w:jc w:val="center"/>
      </w:pPr>
      <w:r>
        <w:rPr>
          <w:rFonts w:asciiTheme="majorHAnsi" w:hAnsiTheme="majorHAnsi"/>
        </w:rPr>
        <w:pict>
          <v:shape id="_x0000_i1027" type="#_x0000_t75" style="width:168pt;height:64.5pt">
            <v:imagedata r:id="rId21" o:title="prob"/>
          </v:shape>
        </w:pict>
      </w:r>
    </w:p>
    <w:p w:rsidR="00D004F5" w:rsidRPr="00522ABB" w:rsidRDefault="00522ABB" w:rsidP="00522ABB">
      <w:pPr>
        <w:pStyle w:val="Caption"/>
        <w:jc w:val="center"/>
        <w:rPr>
          <w:rFonts w:asciiTheme="majorHAnsi" w:hAnsiTheme="majorHAnsi"/>
          <w:sz w:val="24"/>
          <w:szCs w:val="24"/>
        </w:rPr>
      </w:pPr>
      <w:bookmarkStart w:id="89" w:name="_Ref509392111"/>
      <w:bookmarkStart w:id="90" w:name="_Toc509494723"/>
      <w:bookmarkStart w:id="91" w:name="_Toc525294661"/>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3639A5">
        <w:rPr>
          <w:noProof/>
          <w:sz w:val="24"/>
          <w:szCs w:val="24"/>
        </w:rPr>
        <w:t>16</w:t>
      </w:r>
      <w:r w:rsidRPr="00522ABB">
        <w:rPr>
          <w:sz w:val="24"/>
          <w:szCs w:val="24"/>
        </w:rPr>
        <w:fldChar w:fldCharType="end"/>
      </w:r>
      <w:bookmarkEnd w:id="89"/>
      <w:r w:rsidRPr="00522ABB">
        <w:rPr>
          <w:sz w:val="24"/>
          <w:szCs w:val="24"/>
        </w:rPr>
        <w:t>: Probability Threshold Example</w:t>
      </w:r>
      <w:bookmarkEnd w:id="90"/>
      <w:bookmarkEnd w:id="91"/>
    </w:p>
    <w:p w:rsidR="0096017D" w:rsidRDefault="0096017D" w:rsidP="0096017D"/>
    <w:p w:rsidR="00B55020" w:rsidRDefault="00B55020" w:rsidP="00B55020">
      <w:pPr>
        <w:pStyle w:val="Heading3"/>
      </w:pPr>
      <w:bookmarkStart w:id="92" w:name="_Toc525294721"/>
      <w:r>
        <w:t>Hardware Fault Statement</w:t>
      </w:r>
      <w:bookmarkEnd w:id="92"/>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17</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2"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4548BD3C" wp14:editId="12908596">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93" w:name="_Ref509393185"/>
      <w:bookmarkStart w:id="94" w:name="_Toc509494724"/>
      <w:bookmarkStart w:id="95" w:name="_Toc525294662"/>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3639A5">
        <w:rPr>
          <w:noProof/>
          <w:sz w:val="24"/>
          <w:szCs w:val="24"/>
        </w:rPr>
        <w:t>17</w:t>
      </w:r>
      <w:r w:rsidRPr="00DF0B18">
        <w:rPr>
          <w:sz w:val="24"/>
          <w:szCs w:val="24"/>
        </w:rPr>
        <w:fldChar w:fldCharType="end"/>
      </w:r>
      <w:bookmarkEnd w:id="93"/>
      <w:r w:rsidRPr="00DF0B18">
        <w:rPr>
          <w:sz w:val="24"/>
          <w:szCs w:val="24"/>
        </w:rPr>
        <w:t>: Hardware Fault Statement</w:t>
      </w:r>
      <w:bookmarkEnd w:id="94"/>
      <w:bookmarkEnd w:id="95"/>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3639A5">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96" w:name="_Toc525294722"/>
      <w:r>
        <w:t>Duration</w:t>
      </w:r>
      <w:bookmarkEnd w:id="96"/>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97" w:name="_Toc525294723"/>
      <w:r>
        <w:t>Probability</w:t>
      </w:r>
      <w:bookmarkEnd w:id="97"/>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17</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sidR="003639A5">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98" w:name="_Toc525294724"/>
      <w:r>
        <w:t>Propagation Type</w:t>
      </w:r>
      <w:bookmarkEnd w:id="98"/>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asymmetric</w:t>
      </w:r>
      <w:r>
        <w:rPr>
          <w:rFonts w:asciiTheme="majorHAnsi" w:hAnsiTheme="majorHAnsi"/>
        </w:rPr>
        <w:t>;</w:t>
      </w:r>
    </w:p>
    <w:p w:rsidR="00627E33" w:rsidRDefault="00627E33" w:rsidP="00B55020"/>
    <w:p w:rsidR="00191832" w:rsidRDefault="00191832" w:rsidP="00025792"/>
    <w:p w:rsidR="005D789A" w:rsidRDefault="005D789A" w:rsidP="005D789A">
      <w:pPr>
        <w:pStyle w:val="Heading1"/>
      </w:pPr>
      <w:bookmarkStart w:id="99" w:name="_Ref509396693"/>
      <w:bookmarkStart w:id="100" w:name="_Toc525294732"/>
      <w:r>
        <w:t>The Tool Suite (Safety Annex, AGREE, AADL)</w:t>
      </w:r>
      <w:bookmarkEnd w:id="99"/>
      <w:bookmarkEnd w:id="100"/>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101" w:name="_Toc525294733"/>
      <w:r>
        <w:t>Tool Suite Overview</w:t>
      </w:r>
      <w:bookmarkEnd w:id="101"/>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Figure 7 shows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Pr="008D075C">
        <w:rPr>
          <w:rFonts w:asciiTheme="majorHAnsi" w:eastAsia="Calibri" w:hAnsiTheme="majorHAnsi" w:cs="Calibri"/>
        </w:rPr>
        <w:t xml:space="preserve">nnex </w:t>
      </w:r>
      <w:r w:rsidR="00692EBB">
        <w:rPr>
          <w:rFonts w:asciiTheme="majorHAnsi" w:eastAsia="Calibri" w:hAnsiTheme="majorHAnsi" w:cs="Calibri"/>
        </w:rPr>
        <w:t>run as</w:t>
      </w:r>
      <w:r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then queries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to perform the verification.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invokes a backend Satisfiability Modulo Theories (SMT) solver (e.g., </w:t>
      </w:r>
      <w:proofErr w:type="spellStart"/>
      <w:r w:rsidRPr="008D075C">
        <w:rPr>
          <w:rFonts w:asciiTheme="majorHAnsi" w:eastAsia="Calibri" w:hAnsiTheme="majorHAnsi" w:cs="Calibri"/>
        </w:rPr>
        <w:t>Yices</w:t>
      </w:r>
      <w:proofErr w:type="spellEnd"/>
      <w:r w:rsidRPr="008D075C">
        <w:rPr>
          <w:rFonts w:asciiTheme="majorHAnsi" w:eastAsia="Calibri" w:hAnsiTheme="majorHAnsi" w:cs="Calibri"/>
        </w:rPr>
        <w:t xml:space="preserve"> </w:t>
      </w:r>
      <w:proofErr w:type="gramStart"/>
      <w:r w:rsidRPr="008D075C">
        <w:rPr>
          <w:rFonts w:asciiTheme="majorHAnsi" w:eastAsia="Calibri" w:hAnsiTheme="majorHAnsi" w:cs="Calibri"/>
        </w:rPr>
        <w:t>or  Z</w:t>
      </w:r>
      <w:proofErr w:type="gramEnd"/>
      <w:r w:rsidRPr="008D075C">
        <w:rPr>
          <w:rFonts w:asciiTheme="majorHAnsi" w:eastAsia="Calibri" w:hAnsiTheme="majorHAnsi" w:cs="Calibri"/>
        </w:rPr>
        <w:t xml:space="preserve">3) to validate if the guarantees are valid in the compositional setting. The safety annex uses an extension point in AGREE to access the AGREE program and insert the faults into the AGREE contracts. Then that program is translated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76103F79" wp14:editId="686004B5">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4"/>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02" w:name="_Toc509298869"/>
      <w:bookmarkStart w:id="103" w:name="_Toc509313369"/>
      <w:bookmarkStart w:id="104" w:name="_Toc509494725"/>
      <w:bookmarkStart w:id="105" w:name="_Toc52529467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3639A5">
        <w:rPr>
          <w:noProof/>
          <w:sz w:val="24"/>
          <w:szCs w:val="24"/>
        </w:rPr>
        <w:t>25</w:t>
      </w:r>
      <w:r w:rsidRPr="007C2BEB">
        <w:rPr>
          <w:sz w:val="24"/>
          <w:szCs w:val="24"/>
        </w:rPr>
        <w:fldChar w:fldCharType="end"/>
      </w:r>
      <w:r w:rsidRPr="007C2BEB">
        <w:rPr>
          <w:sz w:val="24"/>
          <w:szCs w:val="24"/>
        </w:rPr>
        <w:t>: Overview of Safety Annex/AGREE/OSATE Tool Suite</w:t>
      </w:r>
      <w:bookmarkEnd w:id="102"/>
      <w:bookmarkEnd w:id="103"/>
      <w:bookmarkEnd w:id="104"/>
      <w:bookmarkEnd w:id="105"/>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06" w:name="_Toc525294734"/>
      <w:r>
        <w:t>Installation</w:t>
      </w:r>
      <w:bookmarkEnd w:id="106"/>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5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07" w:name="_Toc525294735"/>
      <w:r>
        <w:t>Install OSATE</w:t>
      </w:r>
      <w:bookmarkEnd w:id="107"/>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5"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26"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After following the OSATE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26</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46A1886B" wp14:editId="3DFB4398">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08" w:name="_Ref509312820"/>
      <w:bookmarkStart w:id="109" w:name="_Toc509313370"/>
      <w:bookmarkStart w:id="110" w:name="_Toc509494726"/>
      <w:bookmarkStart w:id="111" w:name="_Toc52529467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3639A5">
        <w:rPr>
          <w:noProof/>
          <w:sz w:val="24"/>
          <w:szCs w:val="24"/>
        </w:rPr>
        <w:t>26</w:t>
      </w:r>
      <w:r w:rsidRPr="00F46FC4">
        <w:rPr>
          <w:sz w:val="24"/>
          <w:szCs w:val="24"/>
        </w:rPr>
        <w:fldChar w:fldCharType="end"/>
      </w:r>
      <w:bookmarkEnd w:id="108"/>
      <w:r w:rsidRPr="00F46FC4">
        <w:rPr>
          <w:sz w:val="24"/>
          <w:szCs w:val="24"/>
        </w:rPr>
        <w:t>: OSATE Loading Screen</w:t>
      </w:r>
      <w:bookmarkEnd w:id="109"/>
      <w:bookmarkEnd w:id="110"/>
      <w:bookmarkEnd w:id="111"/>
    </w:p>
    <w:p w:rsidR="00274CBD" w:rsidRDefault="00274CBD" w:rsidP="00274CBD">
      <w:bookmarkStart w:id="112" w:name="_1pxezwc" w:colFirst="0" w:colLast="0"/>
      <w:bookmarkEnd w:id="112"/>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27</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Note: Currently in OSATE release 2.3.6, AGREE is not</w:t>
      </w:r>
      <w:r w:rsidR="005404D8">
        <w:rPr>
          <w:rFonts w:ascii="Calibri" w:eastAsia="Calibri" w:hAnsi="Calibri" w:cs="Calibri"/>
          <w:b/>
        </w:rPr>
        <w:t xml:space="preserve"> up to date</w:t>
      </w:r>
      <w:r w:rsidRPr="006D32B6">
        <w:rPr>
          <w:rFonts w:ascii="Calibri" w:eastAsia="Calibri" w:hAnsi="Calibri" w:cs="Calibri"/>
          <w:b/>
        </w:rPr>
        <w:t xml:space="preserve">. Please perform this next step in order to </w:t>
      </w:r>
      <w:r w:rsidR="001B18A0">
        <w:rPr>
          <w:rFonts w:ascii="Calibri" w:eastAsia="Calibri" w:hAnsi="Calibri" w:cs="Calibri"/>
          <w:b/>
        </w:rPr>
        <w:t>re</w:t>
      </w:r>
      <w:r w:rsidRPr="006D32B6">
        <w:rPr>
          <w:rFonts w:ascii="Calibri" w:eastAsia="Calibri" w:hAnsi="Calibri" w:cs="Calibri"/>
          <w:b/>
        </w:rPr>
        <w:t xml:space="preserve">install AGREE in this release. </w:t>
      </w:r>
    </w:p>
    <w:p w:rsidR="006D32B6" w:rsidRDefault="006D32B6" w:rsidP="00274CBD">
      <w:pPr>
        <w:rPr>
          <w:rFonts w:ascii="Calibri" w:eastAsia="Calibri" w:hAnsi="Calibri" w:cs="Calibri"/>
          <w:b/>
        </w:rPr>
      </w:pPr>
    </w:p>
    <w:p w:rsidR="006D32B6" w:rsidRDefault="00D71884" w:rsidP="006D32B6">
      <w:pPr>
        <w:pStyle w:val="Heading3"/>
      </w:pPr>
      <w:r>
        <w:t>I</w:t>
      </w:r>
      <w:r w:rsidR="006D32B6">
        <w:t>nstall AGREE</w:t>
      </w:r>
      <w:r>
        <w:t xml:space="preserve"> and Safety Annex</w:t>
      </w:r>
    </w:p>
    <w:p w:rsidR="001B5E26" w:rsidRPr="001B18A0" w:rsidRDefault="001B18A0" w:rsidP="001B5E26">
      <w:pPr>
        <w:rPr>
          <w:rFonts w:asciiTheme="majorHAnsi" w:hAnsiTheme="majorHAnsi" w:cstheme="majorHAnsi"/>
        </w:rPr>
      </w:pPr>
      <w:r>
        <w:rPr>
          <w:rFonts w:asciiTheme="majorHAnsi" w:hAnsiTheme="majorHAnsi" w:cstheme="majorHAnsi"/>
        </w:rPr>
        <w:t>In the local directory that contains OSATE, there will be a plugin folder. Remove the AGREE plugins that come with OSATE (</w:t>
      </w:r>
      <w:proofErr w:type="spellStart"/>
      <w:proofErr w:type="gramStart"/>
      <w:r>
        <w:rPr>
          <w:rFonts w:asciiTheme="majorHAnsi" w:hAnsiTheme="majorHAnsi" w:cstheme="majorHAnsi"/>
        </w:rPr>
        <w:t>com.rockwellcollins.atc.agree</w:t>
      </w:r>
      <w:proofErr w:type="spellEnd"/>
      <w:proofErr w:type="gramEnd"/>
      <w:r>
        <w:rPr>
          <w:rFonts w:asciiTheme="majorHAnsi" w:hAnsiTheme="majorHAnsi" w:cstheme="majorHAnsi"/>
        </w:rPr>
        <w:t xml:space="preserve">*).   </w:t>
      </w:r>
    </w:p>
    <w:p w:rsidR="006D32B6" w:rsidRDefault="006D32B6" w:rsidP="00274CBD">
      <w:pPr>
        <w:rPr>
          <w:rFonts w:ascii="Calibri" w:eastAsia="Calibri" w:hAnsi="Calibri" w:cs="Calibri"/>
          <w:b/>
        </w:rPr>
      </w:pPr>
    </w:p>
    <w:p w:rsidR="00D71884" w:rsidRDefault="00D71884" w:rsidP="00D71884">
      <w:pPr>
        <w:rPr>
          <w:rFonts w:asciiTheme="majorHAnsi" w:hAnsiTheme="majorHAnsi"/>
        </w:rPr>
      </w:pPr>
      <w:r>
        <w:rPr>
          <w:rFonts w:asciiTheme="majorHAnsi" w:hAnsiTheme="majorHAnsi"/>
        </w:rPr>
        <w:t xml:space="preserve">Assuming </w:t>
      </w:r>
      <w:proofErr w:type="spellStart"/>
      <w:r>
        <w:rPr>
          <w:rFonts w:asciiTheme="majorHAnsi" w:hAnsiTheme="majorHAnsi"/>
        </w:rPr>
        <w:t>Osate</w:t>
      </w:r>
      <w:proofErr w:type="spellEnd"/>
      <w:r>
        <w:rPr>
          <w:rFonts w:asciiTheme="majorHAnsi" w:hAnsiTheme="majorHAnsi"/>
        </w:rPr>
        <w:t xml:space="preserve"> 2.3.6 has been successfully installed, select:</w:t>
      </w:r>
    </w:p>
    <w:p w:rsidR="00D71884" w:rsidRDefault="00D71884" w:rsidP="00D71884">
      <w:pPr>
        <w:rPr>
          <w:rFonts w:asciiTheme="majorHAnsi" w:hAnsiTheme="majorHAnsi"/>
        </w:rPr>
      </w:pPr>
      <w:r>
        <w:rPr>
          <w:rFonts w:asciiTheme="majorHAnsi" w:hAnsiTheme="majorHAnsi"/>
        </w:rPr>
        <w:tab/>
        <w:t>Help -&gt; Install New Software</w:t>
      </w:r>
    </w:p>
    <w:p w:rsidR="00D71884" w:rsidRPr="00C807ED" w:rsidRDefault="00D71884" w:rsidP="00D71884">
      <w:pPr>
        <w:rPr>
          <w:rFonts w:asciiTheme="majorHAnsi" w:hAnsiTheme="majorHAnsi" w:cstheme="majorHAnsi"/>
        </w:rPr>
      </w:pPr>
    </w:p>
    <w:p w:rsidR="00D71884" w:rsidRPr="00C807ED" w:rsidRDefault="00D71884" w:rsidP="00D71884">
      <w:pPr>
        <w:rPr>
          <w:rFonts w:asciiTheme="majorHAnsi" w:hAnsiTheme="majorHAnsi" w:cstheme="majorHAnsi"/>
        </w:rPr>
      </w:pPr>
      <w:r w:rsidRPr="00C807ED">
        <w:rPr>
          <w:rFonts w:asciiTheme="majorHAnsi" w:hAnsiTheme="majorHAnsi" w:cstheme="majorHAnsi"/>
        </w:rPr>
        <w:t xml:space="preserve">The following is the link for the </w:t>
      </w:r>
      <w:r>
        <w:rPr>
          <w:rFonts w:asciiTheme="majorHAnsi" w:hAnsiTheme="majorHAnsi" w:cstheme="majorHAnsi"/>
        </w:rPr>
        <w:t>AGREE and Safety Annex</w:t>
      </w:r>
      <w:r w:rsidRPr="00C807ED">
        <w:rPr>
          <w:rFonts w:asciiTheme="majorHAnsi" w:hAnsiTheme="majorHAnsi" w:cstheme="majorHAnsi"/>
        </w:rPr>
        <w:t xml:space="preserve"> update site:</w:t>
      </w:r>
    </w:p>
    <w:p w:rsidR="00D71884" w:rsidRDefault="00D71884" w:rsidP="00D71884">
      <w:pPr>
        <w:rPr>
          <w:rStyle w:val="Hyperlink"/>
          <w:rFonts w:asciiTheme="majorHAnsi" w:hAnsiTheme="majorHAnsi" w:cstheme="majorHAnsi"/>
        </w:rPr>
      </w:pPr>
      <w:hyperlink r:id="rId28" w:history="1">
        <w:r w:rsidRPr="00C807ED">
          <w:rPr>
            <w:rStyle w:val="Hyperlink"/>
            <w:rFonts w:asciiTheme="majorHAnsi" w:hAnsiTheme="majorHAnsi" w:cstheme="majorHAnsi"/>
          </w:rPr>
          <w:t>https://raw.githubusercontent.com/loonwerks/AMASE-Update-Site/master/site.xml</w:t>
        </w:r>
      </w:hyperlink>
    </w:p>
    <w:p w:rsidR="00D71884" w:rsidRDefault="00D71884" w:rsidP="00D71884">
      <w:pPr>
        <w:rPr>
          <w:rStyle w:val="Hyperlink"/>
          <w:rFonts w:asciiTheme="majorHAnsi" w:hAnsiTheme="majorHAnsi" w:cstheme="majorHAnsi"/>
        </w:rPr>
      </w:pPr>
    </w:p>
    <w:p w:rsidR="00D71884" w:rsidRDefault="00D71884" w:rsidP="00D71884">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Pr="003639A5">
        <w:rPr>
          <w:rFonts w:asciiTheme="majorHAnsi" w:hAnsiTheme="majorHAnsi"/>
        </w:rPr>
        <w:t xml:space="preserve">Figure </w:t>
      </w:r>
      <w:r w:rsidRPr="003639A5">
        <w:rPr>
          <w:rFonts w:asciiTheme="majorHAnsi" w:hAnsiTheme="majorHAnsi"/>
          <w:noProof/>
        </w:rPr>
        <w:t>32</w:t>
      </w:r>
      <w:r w:rsidRPr="00F80C50">
        <w:rPr>
          <w:rFonts w:asciiTheme="majorHAnsi" w:hAnsiTheme="majorHAnsi"/>
        </w:rPr>
        <w:fldChar w:fldCharType="end"/>
      </w:r>
      <w:r w:rsidRPr="00F80C50">
        <w:rPr>
          <w:rFonts w:asciiTheme="majorHAnsi" w:hAnsiTheme="majorHAnsi"/>
        </w:rPr>
        <w:t>.</w:t>
      </w:r>
    </w:p>
    <w:p w:rsidR="00D71884" w:rsidRPr="00F80C50" w:rsidRDefault="00D71884" w:rsidP="00D71884">
      <w:pPr>
        <w:rPr>
          <w:rFonts w:asciiTheme="majorHAnsi" w:hAnsiTheme="majorHAnsi"/>
        </w:rPr>
      </w:pPr>
      <w:r>
        <w:rPr>
          <w:noProof/>
        </w:rPr>
        <w:lastRenderedPageBreak/>
        <w:drawing>
          <wp:inline distT="0" distB="0" distL="0" distR="0" wp14:anchorId="5D534F21" wp14:editId="600F9C6C">
            <wp:extent cx="5943600" cy="4467225"/>
            <wp:effectExtent l="0" t="0" r="0" b="9525"/>
            <wp:docPr id="14" name="Picture 1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71884" w:rsidRPr="00F029D8" w:rsidRDefault="00D71884" w:rsidP="00D71884">
      <w:pPr>
        <w:pStyle w:val="Caption"/>
        <w:jc w:val="center"/>
        <w:rPr>
          <w:sz w:val="24"/>
          <w:szCs w:val="24"/>
        </w:rPr>
      </w:pPr>
      <w:bookmarkStart w:id="113" w:name="_Toc509313378"/>
      <w:bookmarkStart w:id="114" w:name="_Toc509494734"/>
      <w:bookmarkStart w:id="115" w:name="_Toc525294677"/>
      <w:bookmarkStart w:id="116" w:name="_Ref509313253"/>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Pr>
          <w:noProof/>
          <w:sz w:val="24"/>
          <w:szCs w:val="24"/>
        </w:rPr>
        <w:t>3</w:t>
      </w:r>
      <w:bookmarkStart w:id="117" w:name="_GoBack"/>
      <w:bookmarkEnd w:id="117"/>
      <w:r>
        <w:rPr>
          <w:noProof/>
          <w:sz w:val="24"/>
          <w:szCs w:val="24"/>
        </w:rPr>
        <w:t>2</w:t>
      </w:r>
      <w:r w:rsidRPr="00F029D8">
        <w:rPr>
          <w:sz w:val="24"/>
          <w:szCs w:val="24"/>
        </w:rPr>
        <w:fldChar w:fldCharType="end"/>
      </w:r>
      <w:bookmarkEnd w:id="116"/>
      <w:r w:rsidRPr="00F029D8">
        <w:rPr>
          <w:sz w:val="24"/>
          <w:szCs w:val="24"/>
        </w:rPr>
        <w:t>: Safety Analysis Menu Item</w:t>
      </w:r>
      <w:bookmarkEnd w:id="113"/>
      <w:bookmarkEnd w:id="114"/>
      <w:bookmarkEnd w:id="115"/>
    </w:p>
    <w:p w:rsidR="001B18A0" w:rsidRPr="006D32B6" w:rsidRDefault="001B18A0"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6B5CE613" wp14:editId="65F34828">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18" w:name="_Ref514679853"/>
      <w:bookmarkStart w:id="119" w:name="_Toc509494727"/>
      <w:bookmarkStart w:id="120" w:name="_Toc52529467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3639A5">
        <w:rPr>
          <w:noProof/>
          <w:sz w:val="24"/>
          <w:szCs w:val="24"/>
        </w:rPr>
        <w:t>27</w:t>
      </w:r>
      <w:r w:rsidRPr="00274CBD">
        <w:rPr>
          <w:sz w:val="24"/>
          <w:szCs w:val="24"/>
        </w:rPr>
        <w:fldChar w:fldCharType="end"/>
      </w:r>
      <w:bookmarkEnd w:id="118"/>
      <w:r w:rsidRPr="00274CBD">
        <w:rPr>
          <w:sz w:val="24"/>
          <w:szCs w:val="24"/>
        </w:rPr>
        <w:t>: Windows 10 System Control Panel</w:t>
      </w:r>
      <w:bookmarkEnd w:id="119"/>
      <w:bookmarkEnd w:id="120"/>
    </w:p>
    <w:p w:rsidR="00EF025E" w:rsidRPr="00EF025E" w:rsidRDefault="00EF025E" w:rsidP="00EF025E"/>
    <w:p w:rsidR="005D789A" w:rsidRDefault="005D789A" w:rsidP="005D789A">
      <w:pPr>
        <w:pStyle w:val="Heading3"/>
      </w:pPr>
      <w:bookmarkStart w:id="121" w:name="_Ref509483838"/>
      <w:bookmarkStart w:id="122" w:name="_Toc525294736"/>
      <w:r>
        <w:t>Install SMT Solver</w:t>
      </w:r>
      <w:bookmarkEnd w:id="121"/>
      <w:bookmarkEnd w:id="122"/>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30">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1">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2">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3"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usually .</w:t>
      </w:r>
      <w:proofErr w:type="spellStart"/>
      <w:r w:rsidRPr="007A67F6">
        <w:rPr>
          <w:rFonts w:asciiTheme="majorHAnsi" w:eastAsia="Calibri" w:hAnsiTheme="majorHAnsi" w:cs="Calibri"/>
        </w:rPr>
        <w:t>bashrc</w:t>
      </w:r>
      <w:proofErr w:type="spell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28</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41241E0B" wp14:editId="21A15AF9">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123" w:name="_Ref509313073"/>
      <w:bookmarkStart w:id="124" w:name="_Toc509298872"/>
      <w:bookmarkStart w:id="125" w:name="_Toc509313372"/>
      <w:bookmarkStart w:id="126" w:name="_Toc509494728"/>
      <w:bookmarkStart w:id="127" w:name="_Toc52529467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3639A5">
        <w:rPr>
          <w:noProof/>
          <w:sz w:val="24"/>
          <w:szCs w:val="24"/>
        </w:rPr>
        <w:t>28</w:t>
      </w:r>
      <w:r w:rsidRPr="00E437F9">
        <w:rPr>
          <w:sz w:val="24"/>
          <w:szCs w:val="24"/>
        </w:rPr>
        <w:fldChar w:fldCharType="end"/>
      </w:r>
      <w:bookmarkEnd w:id="123"/>
      <w:r w:rsidRPr="00E437F9">
        <w:rPr>
          <w:sz w:val="24"/>
          <w:szCs w:val="24"/>
        </w:rPr>
        <w:t>: System Properties Dialog Box</w:t>
      </w:r>
      <w:bookmarkEnd w:id="124"/>
      <w:bookmarkEnd w:id="125"/>
      <w:bookmarkEnd w:id="126"/>
      <w:bookmarkEnd w:id="127"/>
    </w:p>
    <w:p w:rsidR="00EE3FD9" w:rsidRDefault="00EE3FD9" w:rsidP="00EE3FD9">
      <w:pPr>
        <w:spacing w:before="120" w:after="120"/>
        <w:jc w:val="center"/>
        <w:rPr>
          <w:rFonts w:ascii="Calibri" w:eastAsia="Calibri" w:hAnsi="Calibri" w:cs="Calibri"/>
          <w:b/>
        </w:rPr>
      </w:pPr>
      <w:bookmarkStart w:id="128" w:name="_147n2zr" w:colFirst="0" w:colLast="0"/>
      <w:bookmarkEnd w:id="128"/>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29</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29" w:name="_Toc509315544"/>
      <w:r>
        <w:rPr>
          <w:noProof/>
        </w:rPr>
        <w:drawing>
          <wp:inline distT="0" distB="0" distL="0" distR="0" wp14:anchorId="462BC72B" wp14:editId="188485C1">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3133725" cy="3528462"/>
                    </a:xfrm>
                    <a:prstGeom prst="rect">
                      <a:avLst/>
                    </a:prstGeom>
                    <a:ln/>
                  </pic:spPr>
                </pic:pic>
              </a:graphicData>
            </a:graphic>
          </wp:inline>
        </w:drawing>
      </w:r>
      <w:bookmarkEnd w:id="129"/>
    </w:p>
    <w:p w:rsidR="00C559AE" w:rsidRPr="00C559AE" w:rsidRDefault="00C559AE" w:rsidP="00C559AE">
      <w:pPr>
        <w:pStyle w:val="Caption"/>
        <w:jc w:val="center"/>
        <w:rPr>
          <w:rFonts w:ascii="Calibri" w:eastAsia="Calibri" w:hAnsi="Calibri" w:cs="Calibri"/>
          <w:sz w:val="24"/>
          <w:szCs w:val="24"/>
        </w:rPr>
      </w:pPr>
      <w:bookmarkStart w:id="130" w:name="_Ref509396248"/>
      <w:bookmarkStart w:id="131" w:name="_Toc509494729"/>
      <w:bookmarkStart w:id="132" w:name="_Toc52529467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3639A5">
        <w:rPr>
          <w:noProof/>
          <w:sz w:val="24"/>
          <w:szCs w:val="24"/>
        </w:rPr>
        <w:t>29</w:t>
      </w:r>
      <w:r w:rsidRPr="00C559AE">
        <w:rPr>
          <w:sz w:val="24"/>
          <w:szCs w:val="24"/>
        </w:rPr>
        <w:fldChar w:fldCharType="end"/>
      </w:r>
      <w:bookmarkEnd w:id="130"/>
      <w:r w:rsidRPr="00C559AE">
        <w:rPr>
          <w:sz w:val="24"/>
          <w:szCs w:val="24"/>
        </w:rPr>
        <w:t>: Environment Variables Dialog Box</w:t>
      </w:r>
      <w:bookmarkEnd w:id="131"/>
      <w:bookmarkEnd w:id="132"/>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 xml:space="preserve">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2F0BFB61" wp14:editId="79B78FE7">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6"/>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33" w:name="_Toc509298874"/>
      <w:bookmarkStart w:id="134" w:name="_Toc509313374"/>
      <w:bookmarkStart w:id="135" w:name="_Toc509494730"/>
      <w:bookmarkStart w:id="136" w:name="_Toc52529467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3639A5">
        <w:rPr>
          <w:noProof/>
          <w:sz w:val="24"/>
          <w:szCs w:val="24"/>
        </w:rPr>
        <w:t>30</w:t>
      </w:r>
      <w:r w:rsidRPr="00E437F9">
        <w:rPr>
          <w:sz w:val="24"/>
          <w:szCs w:val="24"/>
        </w:rPr>
        <w:fldChar w:fldCharType="end"/>
      </w:r>
      <w:r w:rsidRPr="00E437F9">
        <w:rPr>
          <w:sz w:val="24"/>
          <w:szCs w:val="24"/>
        </w:rPr>
        <w:t>: System Variable Text Edit Box</w:t>
      </w:r>
      <w:bookmarkEnd w:id="133"/>
      <w:bookmarkEnd w:id="134"/>
      <w:bookmarkEnd w:id="135"/>
      <w:bookmarkEnd w:id="136"/>
    </w:p>
    <w:p w:rsidR="00C559AE" w:rsidRDefault="00C559AE" w:rsidP="00C559AE">
      <w:pPr>
        <w:spacing w:before="120" w:after="120"/>
        <w:jc w:val="center"/>
        <w:rPr>
          <w:rFonts w:ascii="Calibri" w:eastAsia="Calibri" w:hAnsi="Calibri" w:cs="Calibri"/>
          <w:b/>
        </w:rPr>
      </w:pPr>
      <w:bookmarkStart w:id="137" w:name="_23ckvvd" w:colFirst="0" w:colLast="0"/>
      <w:bookmarkEnd w:id="137"/>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has been correctly installed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8114F9" w:rsidP="005D789A">
      <w:pPr>
        <w:pStyle w:val="Heading3"/>
      </w:pPr>
      <w:bookmarkStart w:id="138" w:name="_Toc525294738"/>
      <w:r>
        <w:t>Set AGREE Analysis Preferences</w:t>
      </w:r>
      <w:bookmarkEnd w:id="138"/>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w:t>
      </w:r>
      <w:proofErr w:type="spellStart"/>
      <w:r w:rsidRPr="007225F3">
        <w:rPr>
          <w:rFonts w:asciiTheme="majorHAnsi" w:eastAsia="Calibri" w:hAnsiTheme="majorHAnsi" w:cstheme="majorHAnsi"/>
        </w:rPr>
        <w:t>Yices</w:t>
      </w:r>
      <w:proofErr w:type="spellEnd"/>
      <w:r w:rsidRPr="007225F3">
        <w:rPr>
          <w:rFonts w:asciiTheme="majorHAnsi" w:eastAsia="Calibri" w:hAnsiTheme="majorHAnsi" w:cstheme="majorHAnsi"/>
        </w:rPr>
        <w:t xml:space="preserve">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31</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1B18A0" w:rsidP="00766204">
      <w:pPr>
        <w:keepNext/>
        <w:jc w:val="center"/>
      </w:pPr>
      <w:r>
        <w:rPr>
          <w:rFonts w:ascii="Calibri Light" w:eastAsia="Calibri" w:hAnsi="Calibri Light" w:cs="Calibri Light"/>
        </w:rPr>
        <w:lastRenderedPageBreak/>
        <w:pict>
          <v:shape id="_x0000_i1028" type="#_x0000_t75" style="width:374.5pt;height:324pt">
            <v:imagedata r:id="rId37"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39" w:name="_Ref510449484"/>
      <w:bookmarkStart w:id="140" w:name="_Toc525294676"/>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3639A5">
        <w:rPr>
          <w:noProof/>
          <w:sz w:val="24"/>
          <w:szCs w:val="24"/>
        </w:rPr>
        <w:t>31</w:t>
      </w:r>
      <w:r w:rsidRPr="00766204">
        <w:rPr>
          <w:sz w:val="24"/>
          <w:szCs w:val="24"/>
        </w:rPr>
        <w:fldChar w:fldCharType="end"/>
      </w:r>
      <w:bookmarkEnd w:id="139"/>
      <w:r w:rsidRPr="00766204">
        <w:rPr>
          <w:sz w:val="24"/>
          <w:szCs w:val="24"/>
        </w:rPr>
        <w:t>: AGREE Analysis Preferences</w:t>
      </w:r>
      <w:bookmarkEnd w:id="140"/>
    </w:p>
    <w:p w:rsidR="00B4642C" w:rsidRDefault="00B4642C" w:rsidP="00B4642C"/>
    <w:p w:rsidR="00B4642C" w:rsidRDefault="00B4642C" w:rsidP="00B4642C">
      <w:pPr>
        <w:keepNext/>
        <w:jc w:val="center"/>
      </w:pPr>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3639A5">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bookmarkStart w:id="141" w:name="_Toc525294740"/>
      <w:r>
        <w:t>Development Environment Installation</w:t>
      </w:r>
      <w:bookmarkEnd w:id="141"/>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OSATE 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42" w:name="_Toc525294741"/>
      <w:r w:rsidRPr="00700B83">
        <w:rPr>
          <w:rFonts w:cstheme="majorHAnsi"/>
        </w:rPr>
        <w:t>Install OSATE Development Environment</w:t>
      </w:r>
      <w:bookmarkEnd w:id="142"/>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1B18A0" w:rsidP="0039044E">
      <w:pPr>
        <w:rPr>
          <w:rFonts w:asciiTheme="majorHAnsi" w:hAnsiTheme="majorHAnsi" w:cstheme="majorHAnsi"/>
        </w:rPr>
      </w:pPr>
      <w:hyperlink r:id="rId38"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lastRenderedPageBreak/>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Development Environment called </w:t>
      </w:r>
      <w:r w:rsidR="005B4B68" w:rsidRPr="00700B83">
        <w:rPr>
          <w:rFonts w:asciiTheme="majorHAnsi" w:hAnsiTheme="majorHAnsi" w:cstheme="majorHAnsi"/>
        </w:rPr>
        <w:t>Oxygen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repositories the </w:t>
      </w:r>
      <w:r w:rsidRPr="00700B83">
        <w:rPr>
          <w:rFonts w:asciiTheme="majorHAnsi" w:hAnsiTheme="majorHAnsi" w:cstheme="majorHAnsi"/>
          <w:i/>
        </w:rPr>
        <w:t>read-only</w:t>
      </w:r>
      <w:r w:rsidR="00164B7D" w:rsidRPr="00700B83">
        <w:rPr>
          <w:rFonts w:asciiTheme="majorHAnsi" w:hAnsiTheme="majorHAnsi" w:cstheme="majorHAnsi"/>
        </w:rPr>
        <w:t xml:space="preserve"> option is selected. </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w:t>
      </w:r>
      <w:proofErr w:type="spellStart"/>
      <w:r w:rsidR="0039044E" w:rsidRPr="00700B83">
        <w:rPr>
          <w:rFonts w:asciiTheme="majorHAnsi" w:hAnsiTheme="majorHAnsi" w:cstheme="majorHAnsi"/>
        </w:rPr>
        <w:t>Github</w:t>
      </w:r>
      <w:proofErr w:type="spellEnd"/>
      <w:r w:rsidR="0039044E" w:rsidRPr="00700B83">
        <w:rPr>
          <w:rFonts w:asciiTheme="majorHAnsi" w:hAnsiTheme="majorHAnsi" w:cstheme="majorHAnsi"/>
        </w:rPr>
        <w:t xml:space="preserve"> re</w:t>
      </w:r>
      <w:r w:rsidRPr="00700B83">
        <w:rPr>
          <w:rFonts w:asciiTheme="majorHAnsi" w:hAnsiTheme="majorHAnsi" w:cstheme="majorHAnsi"/>
        </w:rPr>
        <w:t>positories in this list.</w:t>
      </w:r>
    </w:p>
    <w:p w:rsidR="00164B7D"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43" w:name="_Toc525294742"/>
      <w:r w:rsidRPr="00700B83">
        <w:rPr>
          <w:rFonts w:cstheme="majorHAnsi"/>
        </w:rPr>
        <w:t xml:space="preserve">Install </w:t>
      </w:r>
      <w:proofErr w:type="spellStart"/>
      <w:r w:rsidRPr="00700B83">
        <w:rPr>
          <w:rFonts w:cstheme="majorHAnsi"/>
        </w:rPr>
        <w:t>XText</w:t>
      </w:r>
      <w:bookmarkEnd w:id="143"/>
      <w:proofErr w:type="spellEnd"/>
      <w:r w:rsidRPr="00700B83">
        <w:rPr>
          <w:rFonts w:cstheme="majorHAnsi"/>
        </w:rPr>
        <w:t xml:space="preserve"> </w:t>
      </w:r>
    </w:p>
    <w:p w:rsidR="00164B7D" w:rsidRPr="00700B83" w:rsidRDefault="00E66025" w:rsidP="00164B7D">
      <w:pPr>
        <w:rPr>
          <w:rFonts w:asciiTheme="majorHAnsi" w:hAnsiTheme="majorHAnsi" w:cstheme="majorHAnsi"/>
        </w:rPr>
      </w:pPr>
      <w:r>
        <w:rPr>
          <w:rFonts w:asciiTheme="majorHAnsi" w:hAnsiTheme="majorHAnsi" w:cstheme="majorHAnsi"/>
        </w:rPr>
        <w:t xml:space="preserve">Assuming </w:t>
      </w:r>
      <w:proofErr w:type="spellStart"/>
      <w:r>
        <w:rPr>
          <w:rFonts w:asciiTheme="majorHAnsi" w:hAnsiTheme="majorHAnsi" w:cstheme="majorHAnsi"/>
        </w:rPr>
        <w:t>Osate</w:t>
      </w:r>
      <w:proofErr w:type="spellEnd"/>
      <w:r>
        <w:rPr>
          <w:rFonts w:asciiTheme="majorHAnsi" w:hAnsiTheme="majorHAnsi" w:cstheme="majorHAnsi"/>
        </w:rPr>
        <w:t xml:space="preserve"> 2.3.6</w:t>
      </w:r>
      <w:r w:rsidR="00164B7D" w:rsidRPr="00700B83">
        <w:rPr>
          <w:rFonts w:asciiTheme="majorHAnsi" w:hAnsiTheme="majorHAnsi" w:cstheme="majorHAnsi"/>
        </w:rPr>
        <w:t xml:space="preserve"> has been successfully installed, select:</w:t>
      </w:r>
    </w:p>
    <w:p w:rsidR="00164B7D" w:rsidRPr="00700B83" w:rsidRDefault="00164B7D" w:rsidP="00164B7D">
      <w:pPr>
        <w:rPr>
          <w:rFonts w:asciiTheme="majorHAnsi" w:hAnsiTheme="majorHAnsi" w:cstheme="majorHAnsi"/>
        </w:rPr>
      </w:pPr>
      <w:r w:rsidRPr="00700B83">
        <w:rPr>
          <w:rFonts w:asciiTheme="majorHAnsi" w:hAnsiTheme="majorHAnsi" w:cstheme="majorHAnsi"/>
        </w:rPr>
        <w:tab/>
        <w:t>Help -&gt; Install New Software</w:t>
      </w:r>
    </w:p>
    <w:p w:rsidR="00164B7D" w:rsidRPr="00700B83" w:rsidRDefault="00164B7D" w:rsidP="00164B7D">
      <w:pPr>
        <w:rPr>
          <w:rFonts w:asciiTheme="majorHAnsi" w:hAnsiTheme="majorHAnsi" w:cstheme="majorHAnsi"/>
        </w:rPr>
      </w:pPr>
    </w:p>
    <w:p w:rsidR="005B4B68" w:rsidRPr="00700B83" w:rsidRDefault="00164B7D" w:rsidP="0039044E">
      <w:pPr>
        <w:rPr>
          <w:rFonts w:asciiTheme="majorHAnsi" w:hAnsiTheme="majorHAnsi" w:cstheme="majorHAnsi"/>
        </w:rPr>
      </w:pPr>
      <w:r w:rsidRPr="00700B83">
        <w:rPr>
          <w:rFonts w:asciiTheme="majorHAnsi" w:hAnsiTheme="majorHAnsi" w:cstheme="majorHAnsi"/>
        </w:rPr>
        <w:t xml:space="preserve">The following is the link for the </w:t>
      </w:r>
      <w:proofErr w:type="spellStart"/>
      <w:r w:rsidRPr="00700B83">
        <w:rPr>
          <w:rFonts w:asciiTheme="majorHAnsi" w:hAnsiTheme="majorHAnsi" w:cstheme="majorHAnsi"/>
        </w:rPr>
        <w:t>XText</w:t>
      </w:r>
      <w:proofErr w:type="spellEnd"/>
      <w:r w:rsidRPr="00700B83">
        <w:rPr>
          <w:rFonts w:asciiTheme="majorHAnsi" w:hAnsiTheme="majorHAnsi" w:cstheme="majorHAnsi"/>
        </w:rPr>
        <w:t xml:space="preserve"> update site:</w:t>
      </w:r>
    </w:p>
    <w:p w:rsidR="0039044E" w:rsidRPr="00700B83" w:rsidRDefault="001B18A0" w:rsidP="0039044E">
      <w:pPr>
        <w:rPr>
          <w:rFonts w:asciiTheme="majorHAnsi" w:hAnsiTheme="majorHAnsi" w:cstheme="majorHAnsi"/>
        </w:rPr>
      </w:pPr>
      <w:hyperlink r:id="rId39" w:tgtFrame="_blank" w:history="1">
        <w:r w:rsidR="0039044E" w:rsidRPr="00700B83">
          <w:rPr>
            <w:rStyle w:val="Hyperlink"/>
            <w:rFonts w:asciiTheme="majorHAnsi" w:hAnsiTheme="majorHAnsi" w:cstheme="majorHAnsi"/>
            <w:color w:val="1155CC"/>
            <w:sz w:val="19"/>
            <w:szCs w:val="19"/>
            <w:shd w:val="clear" w:color="auto" w:fill="FFFFFF"/>
          </w:rPr>
          <w:t>http://download.eclipse.org/modeling/tmf/xtext/updates/composite/releases/</w:t>
        </w:r>
      </w:hyperlink>
    </w:p>
    <w:p w:rsidR="00164B7D" w:rsidRPr="00700B83" w:rsidRDefault="00164B7D" w:rsidP="0039044E">
      <w:pPr>
        <w:rPr>
          <w:rFonts w:asciiTheme="majorHAnsi" w:hAnsiTheme="majorHAnsi" w:cstheme="majorHAnsi"/>
        </w:rPr>
      </w:pPr>
    </w:p>
    <w:p w:rsidR="00164B7D" w:rsidRPr="00700B83" w:rsidRDefault="00164B7D" w:rsidP="0039044E">
      <w:pPr>
        <w:rPr>
          <w:rFonts w:asciiTheme="majorHAnsi" w:hAnsiTheme="majorHAnsi" w:cstheme="majorHAnsi"/>
        </w:rPr>
      </w:pPr>
      <w:r w:rsidRPr="00700B83">
        <w:rPr>
          <w:rFonts w:asciiTheme="majorHAnsi" w:hAnsiTheme="majorHAnsi" w:cstheme="majorHAnsi"/>
        </w:rPr>
        <w:t xml:space="preserve">Select </w:t>
      </w:r>
      <w:proofErr w:type="spellStart"/>
      <w:r w:rsidRPr="00700B83">
        <w:rPr>
          <w:rFonts w:asciiTheme="majorHAnsi" w:hAnsiTheme="majorHAnsi" w:cstheme="majorHAnsi"/>
        </w:rPr>
        <w:t>XText</w:t>
      </w:r>
      <w:proofErr w:type="spellEnd"/>
      <w:r w:rsidRPr="00700B83">
        <w:rPr>
          <w:rFonts w:asciiTheme="majorHAnsi" w:hAnsiTheme="majorHAnsi" w:cstheme="majorHAnsi"/>
        </w:rPr>
        <w:t xml:space="preserve"> and </w:t>
      </w:r>
      <w:proofErr w:type="spellStart"/>
      <w:r w:rsidRPr="00700B83">
        <w:rPr>
          <w:rFonts w:asciiTheme="majorHAnsi" w:hAnsiTheme="majorHAnsi" w:cstheme="majorHAnsi"/>
        </w:rPr>
        <w:t>XTend</w:t>
      </w:r>
      <w:proofErr w:type="spellEnd"/>
      <w:r w:rsidRPr="00700B83">
        <w:rPr>
          <w:rFonts w:asciiTheme="majorHAnsi" w:hAnsiTheme="majorHAnsi" w:cstheme="majorHAnsi"/>
        </w:rPr>
        <w:t xml:space="preserve"> for installation. </w:t>
      </w: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bookmarkStart w:id="144" w:name="_Toc525294743"/>
      <w:r w:rsidRPr="00700B83">
        <w:rPr>
          <w:rFonts w:cstheme="majorHAnsi"/>
        </w:rPr>
        <w:t>Download Safety Annex Source Code</w:t>
      </w:r>
      <w:bookmarkEnd w:id="144"/>
    </w:p>
    <w:p w:rsidR="006E451C" w:rsidRPr="00700B83"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 xml:space="preserve">using the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repository</w:t>
      </w:r>
      <w:r w:rsidR="003D3F7C" w:rsidRPr="00700B83">
        <w:rPr>
          <w:rFonts w:asciiTheme="majorHAnsi" w:hAnsiTheme="majorHAnsi" w:cstheme="majorHAnsi"/>
        </w:rPr>
        <w:t>:</w:t>
      </w:r>
    </w:p>
    <w:p w:rsidR="003D3F7C" w:rsidRPr="00700B83" w:rsidRDefault="001B18A0" w:rsidP="006E451C">
      <w:pPr>
        <w:rPr>
          <w:rFonts w:asciiTheme="majorHAnsi" w:hAnsiTheme="majorHAnsi" w:cstheme="majorHAnsi"/>
        </w:rPr>
      </w:pPr>
      <w:hyperlink r:id="rId40" w:history="1">
        <w:r w:rsidR="003D3F7C" w:rsidRPr="00700B83">
          <w:rPr>
            <w:rStyle w:val="Hyperlink"/>
            <w:rFonts w:asciiTheme="majorHAnsi" w:hAnsiTheme="majorHAnsi" w:cstheme="majorHAnsi"/>
          </w:rPr>
          <w:t>https://github.com/loonwerks/AMASE/</w:t>
        </w:r>
      </w:hyperlink>
      <w:r w:rsidR="003D3F7C"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proofErr w:type="spellStart"/>
      <w:r w:rsidRPr="00700B83">
        <w:rPr>
          <w:rFonts w:asciiTheme="majorHAnsi" w:hAnsiTheme="majorHAnsi" w:cstheme="majorHAnsi"/>
          <w:i/>
        </w:rPr>
        <w:t>safety_annex</w:t>
      </w:r>
      <w:proofErr w:type="spellEnd"/>
      <w:r w:rsidRPr="00700B83">
        <w:rPr>
          <w:rFonts w:asciiTheme="majorHAnsi" w:hAnsiTheme="majorHAnsi" w:cstheme="majorHAnsi"/>
          <w:i/>
        </w:rPr>
        <w:t>/plugins.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bookmarkStart w:id="145" w:name="_Toc525294744"/>
      <w:proofErr w:type="spellStart"/>
      <w:r w:rsidRPr="00700B83">
        <w:rPr>
          <w:rFonts w:cstheme="majorHAnsi"/>
        </w:rPr>
        <w:t>Github</w:t>
      </w:r>
      <w:proofErr w:type="spellEnd"/>
      <w:r w:rsidRPr="00700B83">
        <w:rPr>
          <w:rFonts w:cstheme="majorHAnsi"/>
        </w:rPr>
        <w:t xml:space="preserve"> Branches</w:t>
      </w:r>
      <w:bookmarkEnd w:id="145"/>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proofErr w:type="spellStart"/>
      <w:r w:rsidRPr="00700B83">
        <w:rPr>
          <w:rFonts w:asciiTheme="majorHAnsi" w:hAnsiTheme="majorHAnsi" w:cstheme="majorHAnsi"/>
          <w:i/>
        </w:rPr>
        <w:t>smaccm</w:t>
      </w:r>
      <w:proofErr w:type="spellEnd"/>
      <w:r w:rsidRPr="00700B83">
        <w:rPr>
          <w:rFonts w:asciiTheme="majorHAnsi" w:hAnsiTheme="majorHAnsi" w:cstheme="majorHAnsi"/>
        </w:rPr>
        <w:t xml:space="preserve"> branch is part of the OSATE installation and the default branch is </w:t>
      </w:r>
      <w:r w:rsidRPr="00700B83">
        <w:rPr>
          <w:rFonts w:asciiTheme="majorHAnsi" w:hAnsiTheme="majorHAnsi" w:cstheme="majorHAnsi"/>
          <w:i/>
        </w:rPr>
        <w:t>master</w:t>
      </w:r>
      <w:r w:rsidRPr="00700B83">
        <w:rPr>
          <w:rFonts w:asciiTheme="majorHAnsi" w:hAnsiTheme="majorHAnsi" w:cstheme="majorHAnsi"/>
        </w:rPr>
        <w:t xml:space="preserve">. This needs to be changed to </w:t>
      </w:r>
      <w:proofErr w:type="spellStart"/>
      <w:r w:rsidRPr="00700B83">
        <w:rPr>
          <w:rFonts w:asciiTheme="majorHAnsi" w:hAnsiTheme="majorHAnsi" w:cstheme="majorHAnsi"/>
          <w:i/>
        </w:rPr>
        <w:t>develop_fault_analysis</w:t>
      </w:r>
      <w:proofErr w:type="spellEnd"/>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r w:rsidRPr="00700B83">
        <w:rPr>
          <w:rFonts w:asciiTheme="majorHAnsi" w:hAnsiTheme="majorHAnsi" w:cstheme="majorHAnsi"/>
          <w:i/>
        </w:rPr>
        <w:t>AMASE</w:t>
      </w:r>
      <w:r w:rsidRPr="00700B83">
        <w:rPr>
          <w:rFonts w:asciiTheme="majorHAnsi" w:hAnsiTheme="majorHAnsi" w:cstheme="majorHAnsi"/>
        </w:rPr>
        <w:t xml:space="preserve"> branch should be changed to </w:t>
      </w:r>
      <w:r w:rsidRPr="00700B83">
        <w:rPr>
          <w:rFonts w:asciiTheme="majorHAnsi" w:hAnsiTheme="majorHAnsi" w:cstheme="majorHAnsi"/>
          <w:i/>
        </w:rPr>
        <w:t>develop</w:t>
      </w:r>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 -&gt; Switch To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Heading3"/>
      </w:pPr>
      <w:bookmarkStart w:id="146" w:name="_Toc525294745"/>
      <w:r>
        <w:lastRenderedPageBreak/>
        <w:t>Run OSATE</w:t>
      </w:r>
      <w:bookmarkEnd w:id="146"/>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32</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3639A5">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C11DC1" w:rsidRPr="00F80C50" w:rsidRDefault="00C11DC1" w:rsidP="00C11DC1">
      <w:pPr>
        <w:rPr>
          <w:rFonts w:asciiTheme="majorHAnsi" w:hAnsiTheme="majorHAnsi"/>
        </w:rPr>
      </w:pPr>
    </w:p>
    <w:p w:rsidR="00C11DC1" w:rsidRDefault="00C11DC1" w:rsidP="00C11DC1"/>
    <w:p w:rsidR="00813802" w:rsidRPr="00E31F1B" w:rsidRDefault="00813802" w:rsidP="004F7492">
      <w:pPr>
        <w:rPr>
          <w:rFonts w:asciiTheme="majorHAnsi" w:hAnsiTheme="majorHAnsi" w:cstheme="majorHAnsi"/>
        </w:rPr>
      </w:pPr>
      <w:r>
        <w:rPr>
          <w:rFonts w:asciiTheme="majorHAnsi" w:hAnsiTheme="majorHAnsi" w:cstheme="majorHAnsi"/>
        </w:rPr>
        <w:t xml:space="preserve"> </w:t>
      </w:r>
    </w:p>
    <w:sectPr w:rsidR="00813802" w:rsidRPr="00E3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2ED9"/>
    <w:rsid w:val="00025792"/>
    <w:rsid w:val="00036437"/>
    <w:rsid w:val="00040C93"/>
    <w:rsid w:val="0004389C"/>
    <w:rsid w:val="000573B1"/>
    <w:rsid w:val="00080AE6"/>
    <w:rsid w:val="0009594C"/>
    <w:rsid w:val="000F1278"/>
    <w:rsid w:val="00115E88"/>
    <w:rsid w:val="0012308B"/>
    <w:rsid w:val="001547F1"/>
    <w:rsid w:val="00157241"/>
    <w:rsid w:val="00163771"/>
    <w:rsid w:val="00164B7D"/>
    <w:rsid w:val="00184CA7"/>
    <w:rsid w:val="00185AEB"/>
    <w:rsid w:val="00191832"/>
    <w:rsid w:val="001A3B0C"/>
    <w:rsid w:val="001B18A0"/>
    <w:rsid w:val="001B5E26"/>
    <w:rsid w:val="001C32FA"/>
    <w:rsid w:val="001E790C"/>
    <w:rsid w:val="002104D7"/>
    <w:rsid w:val="002363B4"/>
    <w:rsid w:val="00267E02"/>
    <w:rsid w:val="00274CBD"/>
    <w:rsid w:val="00293491"/>
    <w:rsid w:val="002B543D"/>
    <w:rsid w:val="002F29D5"/>
    <w:rsid w:val="002F65C9"/>
    <w:rsid w:val="003223D6"/>
    <w:rsid w:val="00333D56"/>
    <w:rsid w:val="00334819"/>
    <w:rsid w:val="003639A5"/>
    <w:rsid w:val="00366937"/>
    <w:rsid w:val="0038634D"/>
    <w:rsid w:val="0039044E"/>
    <w:rsid w:val="003A0C66"/>
    <w:rsid w:val="003C664B"/>
    <w:rsid w:val="003D3F7C"/>
    <w:rsid w:val="003E0347"/>
    <w:rsid w:val="004137C8"/>
    <w:rsid w:val="004438FA"/>
    <w:rsid w:val="00453DB3"/>
    <w:rsid w:val="004712EA"/>
    <w:rsid w:val="004763F7"/>
    <w:rsid w:val="00487E49"/>
    <w:rsid w:val="004A3382"/>
    <w:rsid w:val="004A3EFA"/>
    <w:rsid w:val="004A4EEC"/>
    <w:rsid w:val="004B6253"/>
    <w:rsid w:val="004C1C38"/>
    <w:rsid w:val="004C71B8"/>
    <w:rsid w:val="004D4806"/>
    <w:rsid w:val="004D54E4"/>
    <w:rsid w:val="004E3AB2"/>
    <w:rsid w:val="004F1731"/>
    <w:rsid w:val="004F4E97"/>
    <w:rsid w:val="004F7492"/>
    <w:rsid w:val="00513010"/>
    <w:rsid w:val="0052168C"/>
    <w:rsid w:val="00522ABB"/>
    <w:rsid w:val="00523A46"/>
    <w:rsid w:val="0052641E"/>
    <w:rsid w:val="005278EE"/>
    <w:rsid w:val="005404D8"/>
    <w:rsid w:val="0055626F"/>
    <w:rsid w:val="005702A8"/>
    <w:rsid w:val="00575800"/>
    <w:rsid w:val="005910A8"/>
    <w:rsid w:val="005B4B68"/>
    <w:rsid w:val="005C6E35"/>
    <w:rsid w:val="005D0BFE"/>
    <w:rsid w:val="005D789A"/>
    <w:rsid w:val="005E1278"/>
    <w:rsid w:val="005E404D"/>
    <w:rsid w:val="005F19E1"/>
    <w:rsid w:val="005F31A2"/>
    <w:rsid w:val="00627E33"/>
    <w:rsid w:val="0067551B"/>
    <w:rsid w:val="00682F87"/>
    <w:rsid w:val="00692EBB"/>
    <w:rsid w:val="006B2218"/>
    <w:rsid w:val="006D32B6"/>
    <w:rsid w:val="006E0057"/>
    <w:rsid w:val="006E451C"/>
    <w:rsid w:val="006E5AEC"/>
    <w:rsid w:val="00700145"/>
    <w:rsid w:val="00700B83"/>
    <w:rsid w:val="007033D9"/>
    <w:rsid w:val="007225F3"/>
    <w:rsid w:val="0072463C"/>
    <w:rsid w:val="00726072"/>
    <w:rsid w:val="00736C60"/>
    <w:rsid w:val="0074764E"/>
    <w:rsid w:val="00751948"/>
    <w:rsid w:val="00751E0F"/>
    <w:rsid w:val="00766204"/>
    <w:rsid w:val="00773EA5"/>
    <w:rsid w:val="007A67F6"/>
    <w:rsid w:val="007C6397"/>
    <w:rsid w:val="007E08E4"/>
    <w:rsid w:val="008058AA"/>
    <w:rsid w:val="008114F9"/>
    <w:rsid w:val="00813802"/>
    <w:rsid w:val="00814758"/>
    <w:rsid w:val="0083279F"/>
    <w:rsid w:val="0083502F"/>
    <w:rsid w:val="008448D4"/>
    <w:rsid w:val="00856724"/>
    <w:rsid w:val="00866C91"/>
    <w:rsid w:val="00872B4D"/>
    <w:rsid w:val="00874847"/>
    <w:rsid w:val="0087711E"/>
    <w:rsid w:val="00887262"/>
    <w:rsid w:val="008C1783"/>
    <w:rsid w:val="008D075C"/>
    <w:rsid w:val="0091125D"/>
    <w:rsid w:val="009335EC"/>
    <w:rsid w:val="00935B60"/>
    <w:rsid w:val="00942C77"/>
    <w:rsid w:val="009577A8"/>
    <w:rsid w:val="0096017D"/>
    <w:rsid w:val="00960EB8"/>
    <w:rsid w:val="00991CE4"/>
    <w:rsid w:val="009D3C05"/>
    <w:rsid w:val="00A0032A"/>
    <w:rsid w:val="00A071FA"/>
    <w:rsid w:val="00A1612E"/>
    <w:rsid w:val="00A23CEA"/>
    <w:rsid w:val="00A478CC"/>
    <w:rsid w:val="00A5402A"/>
    <w:rsid w:val="00A75C31"/>
    <w:rsid w:val="00A848D3"/>
    <w:rsid w:val="00A865B0"/>
    <w:rsid w:val="00AC3144"/>
    <w:rsid w:val="00AE5023"/>
    <w:rsid w:val="00AE7F18"/>
    <w:rsid w:val="00B1247C"/>
    <w:rsid w:val="00B14643"/>
    <w:rsid w:val="00B4642C"/>
    <w:rsid w:val="00B55020"/>
    <w:rsid w:val="00B67FBE"/>
    <w:rsid w:val="00B75F6A"/>
    <w:rsid w:val="00B84938"/>
    <w:rsid w:val="00B87BE9"/>
    <w:rsid w:val="00BF3467"/>
    <w:rsid w:val="00C11DC1"/>
    <w:rsid w:val="00C559AE"/>
    <w:rsid w:val="00C61504"/>
    <w:rsid w:val="00C753E4"/>
    <w:rsid w:val="00C76249"/>
    <w:rsid w:val="00C763D1"/>
    <w:rsid w:val="00C807ED"/>
    <w:rsid w:val="00C85AAA"/>
    <w:rsid w:val="00CB336A"/>
    <w:rsid w:val="00CD5288"/>
    <w:rsid w:val="00CE6941"/>
    <w:rsid w:val="00D004F5"/>
    <w:rsid w:val="00D02391"/>
    <w:rsid w:val="00D145DC"/>
    <w:rsid w:val="00D43848"/>
    <w:rsid w:val="00D44F19"/>
    <w:rsid w:val="00D62504"/>
    <w:rsid w:val="00D6633C"/>
    <w:rsid w:val="00D71884"/>
    <w:rsid w:val="00D87CC9"/>
    <w:rsid w:val="00D90209"/>
    <w:rsid w:val="00DB19D4"/>
    <w:rsid w:val="00DC5A90"/>
    <w:rsid w:val="00DC6F80"/>
    <w:rsid w:val="00DD7AA2"/>
    <w:rsid w:val="00DF0B18"/>
    <w:rsid w:val="00DF2D4A"/>
    <w:rsid w:val="00DF77AD"/>
    <w:rsid w:val="00E14998"/>
    <w:rsid w:val="00E31F1B"/>
    <w:rsid w:val="00E66025"/>
    <w:rsid w:val="00E71FAD"/>
    <w:rsid w:val="00EC5BBA"/>
    <w:rsid w:val="00EE20FC"/>
    <w:rsid w:val="00EE3FD9"/>
    <w:rsid w:val="00EF025E"/>
    <w:rsid w:val="00F04E4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E4E6"/>
  <w15:docId w15:val="{7EDE0D42-09DB-4989-84D8-EB17E848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 w:type="paragraph" w:styleId="BalloonText">
    <w:name w:val="Balloon Text"/>
    <w:basedOn w:val="Normal"/>
    <w:link w:val="BalloonTextChar"/>
    <w:uiPriority w:val="99"/>
    <w:semiHidden/>
    <w:unhideWhenUsed/>
    <w:rsid w:val="00692EBB"/>
    <w:rPr>
      <w:rFonts w:ascii="Tahoma" w:hAnsi="Tahoma" w:cs="Tahoma"/>
      <w:sz w:val="16"/>
      <w:szCs w:val="16"/>
    </w:rPr>
  </w:style>
  <w:style w:type="character" w:customStyle="1" w:styleId="BalloonTextChar">
    <w:name w:val="Balloon Text Char"/>
    <w:basedOn w:val="DefaultParagraphFont"/>
    <w:link w:val="BalloonText"/>
    <w:uiPriority w:val="99"/>
    <w:semiHidden/>
    <w:rsid w:val="00692EBB"/>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osate-build.sei.cmu.edu/download/osate/stable/2.3.6/products/" TargetMode="External"/><Relationship Id="rId39" Type="http://schemas.openxmlformats.org/officeDocument/2006/relationships/hyperlink" Target="http://download.eclipse.org/modeling/tmf/xtext/updates/composite/releases/" TargetMode="External"/><Relationship Id="rId21" Type="http://schemas.openxmlformats.org/officeDocument/2006/relationships/image" Target="media/image15.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tackoverflow.com/questions/14637979/how-to-permanently-set-path-on-linux" TargetMode="External"/><Relationship Id="rId37" Type="http://schemas.openxmlformats.org/officeDocument/2006/relationships/image" Target="media/image23.png"/><Relationship Id="rId40" Type="http://schemas.openxmlformats.org/officeDocument/2006/relationships/hyperlink" Target="https://github.com/loonwerks/AMASE/tree/develop"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raw.githubusercontent.com/loonwerks/AMASE-Update-Site/master/site.xml" TargetMode="External"/><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hub.com/Z3Prover/z3/releases" TargetMode="Externa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hyperlink" Target="https://github.com/loonwerks/AMASE/tree/develop/examples" TargetMode="External"/><Relationship Id="rId27" Type="http://schemas.openxmlformats.org/officeDocument/2006/relationships/image" Target="media/image18.png"/><Relationship Id="rId30" Type="http://schemas.openxmlformats.org/officeDocument/2006/relationships/hyperlink" Target="http://yices.csl.sri.com/" TargetMode="External"/><Relationship Id="rId35" Type="http://schemas.openxmlformats.org/officeDocument/2006/relationships/image" Target="media/image21.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adl.info/aadl/osate/stable/" TargetMode="External"/><Relationship Id="rId33" Type="http://schemas.openxmlformats.org/officeDocument/2006/relationships/hyperlink" Target="http://architectryan.com/2012/10/02/add-to-the-path-on-mac-os-x-mountain-lion/" TargetMode="External"/><Relationship Id="rId38" Type="http://schemas.openxmlformats.org/officeDocument/2006/relationships/hyperlink" Target="http://osate.org/setup-develop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2F9E8-E906-4ACA-9849-0914D11D4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38</Pages>
  <Words>8185</Words>
  <Characters>46656</Characters>
  <Application>Microsoft Office Word</Application>
  <DocSecurity>0</DocSecurity>
  <Lines>388</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Stewart</cp:lastModifiedBy>
  <cp:revision>65</cp:revision>
  <cp:lastPrinted>2018-09-24T10:42:00Z</cp:lastPrinted>
  <dcterms:created xsi:type="dcterms:W3CDTF">2018-03-22T17:43:00Z</dcterms:created>
  <dcterms:modified xsi:type="dcterms:W3CDTF">2019-01-09T10:27:00Z</dcterms:modified>
</cp:coreProperties>
</file>