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</w:rPr>
        <w:t>8.11 Internal Transfer</w:t>
      </w:r>
    </w:p>
    <w:p>
      <w:pPr>
        <w:spacing w:line="240" w:lineRule="auto" w:after="160"/>
      </w:pPr>
      <w:r>
        <w:rPr>
          <w:rFonts w:ascii="Calibri" w:hAnsi="Calibri"/>
          <w:sz w:val="22"/>
        </w:rPr>
        <w:t>The Internal Transfer module moves stock between warehouses. It supports two workflows: (A) issuing raw materials from an inventory warehouse to a production warehouse based on a Raw Material Request Note (RM Request); and (B) manual warehouse-to-warehouse transfer without an RM Request document. Users typically open an RM Request from the Production module, then complete issuing on the Issue RM Request tab.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Module title: Displays “Internal Transfer” at the top of the screen.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Issue RM Request tab: Opens the three-step RM issue workflow (filters → preview → actions).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Other Transfer tab: Opens the manual stock transfer workflow between any two warehouses.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Navigation from Production: From Production Orders, the user clicks “RM Requests”, selects a request note, and clicks “Issue Materials” to jump to Issue RM Request with that note pre-selected.</w:t>
      </w:r>
    </w:p>
    <w:p>
      <w:pPr>
        <w:pStyle w:val="Heading2"/>
      </w:pPr>
      <w:r>
        <w:rPr>
          <w:rFonts w:ascii="Calibri" w:hAnsi="Calibri"/>
        </w:rPr>
        <w:t>8.11.1 Raw Material Request Notes List (Production Entry)</w:t>
      </w:r>
    </w:p>
    <w:p>
      <w:pPr>
        <w:spacing w:line="240" w:lineRule="auto" w:after="160"/>
      </w:pPr>
      <w:r>
        <w:rPr>
          <w:rFonts w:ascii="Calibri" w:hAnsi="Calibri"/>
          <w:sz w:val="22"/>
        </w:rPr>
        <w:t>Opened from Production → RM Requests. This dialog lists all raw material request notes and is the usual entry point before issuing materials on the Internal Transfer screen.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RM Request Filters: User can add filter conditions (column, operator, value), apply, clear, remove conditions, and export results to CSV.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Refresh: Reloads the list of raw material request notes.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View Detail: Opens read-only header and line detail for the selected request note (double-click a row also opens detail).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Issue Materials: Navigates to Internal Transfer → Issue RM Request tab with the selected SCR note and linked production order pre-filled.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Request list grid: Displays Request Code (SCR-########), Production Order Code (PTO-########), Status (e.g. Draft), Request Date, and Required Date.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Close: Closes the dialog without changing data.</w:t>
      </w:r>
    </w:p>
    <w:p>
      <w:pPr>
        <w:pStyle w:val="Heading2"/>
      </w:pPr>
      <w:r>
        <w:rPr>
          <w:rFonts w:ascii="Calibri" w:hAnsi="Calibri"/>
        </w:rPr>
        <w:t>8.11.2 Issue RM Request</w:t>
      </w:r>
    </w:p>
    <w:p>
      <w:pPr>
        <w:spacing w:line="240" w:lineRule="auto" w:after="160"/>
      </w:pPr>
      <w:r>
        <w:rPr>
          <w:rFonts w:ascii="Calibri" w:hAnsi="Calibri"/>
          <w:sz w:val="22"/>
        </w:rPr>
        <w:t>Three-step layout: Step 1 (filters) at the top, Step 2 (issue preview grid) in the centre, Step 3 (action buttons) at the bottom.</w:t>
      </w:r>
    </w:p>
    <w:p>
      <w:pPr>
        <w:pStyle w:val="Heading3"/>
      </w:pPr>
      <w:r>
        <w:rPr>
          <w:rFonts w:ascii="Calibri" w:hAnsi="Calibri"/>
        </w:rPr>
        <w:t>Step 1 — Filters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Production Order: User selects or type-aheads a production order (e.g. PTO-00000085 — SO-00000101) to narrow the RM Request list; “(All open production orders)” shows all open notes.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Inventory WH *: User selects the inventory warehouse that will supply materials (e.g. CN Warehouse Main — Shenzhen). Required before preview loads.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RM Request *: User selects or searches an open request note by code (e.g. SCR-00000085 — PTO-00000085 [Draft]). Required before preview loads.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Production WH: System displays the paired production warehouse name and ID for the selected inventory warehouse (read-only, e.g. PH Warehouse Main (ID 2)).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Auto-sync: Selecting an RM Request automatically fills the linked Production Order; changing Production Order or Inventory WH refreshes the preview.</w:t>
      </w:r>
    </w:p>
    <w:p>
      <w:pPr>
        <w:pStyle w:val="Heading3"/>
      </w:pPr>
      <w:r>
        <w:rPr>
          <w:rFonts w:ascii="Calibri" w:hAnsi="Calibri"/>
        </w:rPr>
        <w:t>Step 2 — Issue Preview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Preview hint: Text explains that the grid auto-refreshes when the request note or warehouse changes.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Raw Material: Material code for each requested line (e.g. RM-ADH-0001).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Request Qty: Quantity requested on the RM Request Note for that material.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Inventory Available: Physical available stock in the selected inventory warehouse.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Inventory Net: Net available stock in the inventory warehouse (after reservations).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Production On Hand: Current physical stock of the material in the paired production warehouse.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Min Stock: Minimum stock level configured for the material at the inventory warehouse.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Shortage Qty: Quantity shortfall (Request Qty minus Inventory Available, minimum zero); rows with shortage may be highlighted for visibility.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Read-only grid: User reviews quantities here before issuing; no direct editing in the preview.</w:t>
      </w:r>
    </w:p>
    <w:p>
      <w:pPr>
        <w:pStyle w:val="Heading3"/>
      </w:pPr>
      <w:r>
        <w:rPr>
          <w:rFonts w:ascii="Calibri" w:hAnsi="Calibri"/>
        </w:rPr>
        <w:t>Step 3 — Actions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Workflow hint: “If shortage exists: Create PO → receive goods → issue materials.”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Issue Materials: User confirms issue; system transfers stock from Inventory WH to Production WH for all lines where inventory is sufficient; RM Request status is updated.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Create PO for Shortages: If any line has shortage, user opens a purchase order draft dialog pre-filled with shortage quantities and preferred supplier quotes.</w:t>
      </w:r>
    </w:p>
    <w:p>
      <w:pPr>
        <w:pStyle w:val="Heading2"/>
      </w:pPr>
      <w:r>
        <w:rPr>
          <w:rFonts w:ascii="Calibri" w:hAnsi="Calibri"/>
        </w:rPr>
        <w:t>8.11.3 Other Transfer</w:t>
      </w:r>
    </w:p>
    <w:p>
      <w:pPr>
        <w:spacing w:line="240" w:lineRule="auto" w:after="160"/>
      </w:pPr>
      <w:r>
        <w:rPr>
          <w:rFonts w:ascii="Calibri" w:hAnsi="Calibri"/>
          <w:sz w:val="22"/>
        </w:rPr>
        <w:t>Manual stock move between any warehouses, not linked to an RM Request. No separate transfer document is stored; movements are posted immediately to stock and the Inventory Ledger.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Info text: Explains that this is a manual move not tied to RM request notes.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Item Type: User selects Raw Material or Product.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From Warehouse *: User selects the source warehouse.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To Warehouse *: User selects the destination warehouse (must differ from source).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Load Items: Loads transferable items from the source warehouse with available quantities.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Transfer Qty: User enters quantity to move on each line (only this column is editable).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Transfer: User confirms; system validates each quantity against available stock and posts the move.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Hint text: “Enter Transfer Qty for items to move. Only available stock (physical − reserved) can be transferred.”</w:t>
      </w:r>
    </w:p>
    <w:p>
      <w:pPr>
        <w:pStyle w:val="Heading2"/>
      </w:pPr>
      <w:r>
        <w:rPr>
          <w:rFonts w:ascii="Calibri" w:hAnsi="Calibri"/>
        </w:rPr>
        <w:t>Screenshot placement (final report)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Figure 8.11-1: Internal Transfer — Issue RM Request tab (Step 1–3 as shown in application).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Figure 8.11-2: Raw Material Request Notes list dialog opened from Production module.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Figure 8.11-3 (optional): Internal Transfer — Other Transfer tab.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