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sz w:val="27"/>
          <w:szCs w:val="27"/>
        </w:rPr>
        <w:t xml:space="preserve">Predicting the Routing Value of Auxiliary Signals Before Deployment: A Preregistered Study of Conditional Information, Baseline Strength, and Budgeted Verification</w:t>
      </w:r>
    </w:p>
    <w:p>
      <w:pPr>
        <w:spacing w:after="0" w:line="480" w:lineRule="auto"/>
        <w:jc w:val="center"/>
      </w:pPr>
      <w:r>
        <w:rPr>
          <w:rFonts w:ascii="Times New Roman" w:cs="Times New Roman" w:eastAsia="Times New Roman" w:hAnsi="Times New Roman"/>
          <w:b/>
          <w:bCs/>
          <w:i w:val="false"/>
          <w:iCs w:val="false"/>
          <w:sz w:val="24"/>
          <w:szCs w:val="24"/>
        </w:rPr>
        <w:t xml:space="preserve">Velayutham S</w:t>
      </w:r>
    </w:p>
    <w:p>
      <w:pPr>
        <w:spacing w:after="0" w:line="480" w:lineRule="auto"/>
        <w:jc w:val="center"/>
      </w:pPr>
      <w:r>
        <w:rPr>
          <w:rFonts w:ascii="Times New Roman" w:cs="Times New Roman" w:eastAsia="Times New Roman" w:hAnsi="Times New Roman"/>
          <w:b w:val="false"/>
          <w:bCs w:val="false"/>
          <w:i w:val="false"/>
          <w:iCs w:val="false"/>
          <w:sz w:val="24"/>
          <w:szCs w:val="24"/>
        </w:rPr>
        <w:t xml:space="preserve">Independent Researcher, Chennai, India</w:t>
      </w:r>
    </w:p>
    <w:p>
      <w:pPr>
        <w:spacing w:after="0" w:line="480" w:lineRule="auto"/>
        <w:jc w:val="center"/>
      </w:pPr>
      <w:r>
        <w:rPr>
          <w:rFonts w:ascii="Times New Roman" w:cs="Times New Roman" w:eastAsia="Times New Roman" w:hAnsi="Times New Roman"/>
          <w:b w:val="false"/>
          <w:bCs w:val="false"/>
          <w:i w:val="false"/>
          <w:iCs w:val="false"/>
          <w:sz w:val="24"/>
          <w:szCs w:val="24"/>
        </w:rPr>
        <w:t xml:space="preserve">ORCID: 0009-0005-6518-9291 · Corresponding author email: vela8055@gmail.com</w:t>
      </w:r>
    </w:p>
    <w:p>
      <w:pPr>
        <w:pStyle w:val="Heading1"/>
        <w:spacing w:after="120" w:before="240" w:line="480" w:lineRule="auto"/>
      </w:pPr>
      <w:r>
        <w:rPr>
          <w:rFonts w:ascii="Times New Roman" w:cs="Times New Roman" w:eastAsia="Times New Roman" w:hAnsi="Times New Roman"/>
          <w:b/>
          <w:bCs/>
          <w:color w:val="000000"/>
          <w:sz w:val="24"/>
          <w:szCs w:val="24"/>
        </w:rPr>
        <w:t xml:space="preserve">Abstract</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Adaptive AI systems reduce cost by routing only some cases to expensive verification, but a candidate routing signal should be evaluated before deployment, not after. This preregistered study tests whether a cheap diagnostic - held-out gain in AUC for predicting fast-model error when an auxiliary signal is added to a baseline (delta-AUC) - predicts the expensive quantity that matters operationally: accuracy gained from routing at a fixed budget. Five hypotheses were fixed before any result was seen (Zenodo DOI 10.5281/zenodo.22963978). Using synthetic data with two generators, three gate learners, three baselines of increasing strength, an 11-point confidence-strength grid, and 20 seeds, delta-AUC measured on development cells predicts routing gain on held-out seeds and on a generator never used for fitting (Spearman rho 0.976 and 0.980; MAE 0.21 points). Gain remains positive against a learned error-predictor baseline using every input the fast model sees (mean 3.67 points, 95% CI [3.54, 3.79]). Gain declines as the baseline strengthens (8 of 8 conditions, rho &lt;= -0.80) and as the signal degrades post-deployment, turning negative at the most severe degradation tested (rho = -0.976; mean -0.32 points, CI [-0.50, -0.15]). On four public tabular datasets, delta-AUC predicts real routing gain across 40 dataset-seed cells (rho = 0.945, p = 5.1e-20); on one dataset the signal is consistently harmful, which the diagnostic correctly flags in advance. All five hypotheses were supported: the contribution is a validated, cheap test for deciding whether a signal will help, before paying the cost of deployment.</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Keywords: adaptive computation; selective prediction; learning to defer; calibration; preregistration; routing under budget; conditional information</w:t>
      </w:r>
    </w:p>
    <w:p>
      <w:pPr>
        <w:pStyle w:val="Heading1"/>
        <w:pageBreakBefore/>
        <w:spacing w:after="120" w:before="240" w:line="480" w:lineRule="auto"/>
      </w:pPr>
      <w:r>
        <w:rPr>
          <w:rFonts w:ascii="Times New Roman" w:cs="Times New Roman" w:eastAsia="Times New Roman" w:hAnsi="Times New Roman"/>
          <w:b/>
          <w:bCs/>
          <w:color w:val="000000"/>
          <w:sz w:val="24"/>
          <w:szCs w:val="24"/>
        </w:rPr>
        <w:t xml:space="preserve">1. Introduction</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Adaptive AI systems allocate additional computation - verification, a stronger model, a human reviewer - to a subset of cases rather than to all cases uniformly. The practical question a system builder faces before adopting any candidate routing signal is not whether it is theoretically interesting, but whether it is worth deploying: does it improve routing decisions enough, at the verification budget actually available, to justify the engineering cost of adding it? Answering this by deploying the signal and measuring the outcome is expensive and slow. A cheaper alternative is a pre-deployment diagnostic computed on held-out data before any budget is spent.</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This paper tests one such diagnostic directly: the incremental AUC for predicting whether the fast model's own prediction will be wrong, obtained by adding the candidate signal to whatever baseline routing signal (typically model confidence) is already in use. We call this delta-AUC. The paper does not ask whether an auxiliary signal has value in the abstract; it asks whether delta-AUC, measured cheaply before deployment, predicts the value the signal will have at deployment, measured expensively as accuracy gained under a fixed verification budget.</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This question is preregistered. Five confirmatory hypotheses, their support criteria, and the full experimental design were fixed and archived (Zenodo DOI 10.5281/zenodo.22963978) before any hypothesis was tested. An exploratory pilot using a linear-only generator and a single learner (Zenodo DOI 10.5281/zenodo.22955744) motivated the design but is not re-reported here as a confirmatory result; where it is referenced, it is labelled as exploratory.</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The study makes five claims, tested in order of increasing external validity. First, delta-AUC measured on development data predicts routing gain on held-out seeds using the same generator (H1a) and, more strongly, on a nonlinear generator never used for fitting the predictive mapping (H1b). Second, routing value survives comparison against a strong baseline: a learned error predictor with access to every input the fast model sees, not merely its confidence (H2). Third, routing gain declines as the baseline itself becomes more informative, across a dense grid and two generators (H3). Fourth, a signal's routing value erodes, and can reverse, as the signal degrades after deployment (H4). Fifth, the same delta-AUC-to-gain relationship holds on real tabular data, including a dataset on which the candidate signal is actively harmful (H5).</w:t>
      </w:r>
    </w:p>
    <w:p>
      <w:pPr>
        <w:pStyle w:val="Heading1"/>
        <w:spacing w:after="120" w:before="240" w:line="480" w:lineRule="auto"/>
      </w:pPr>
      <w:r>
        <w:rPr>
          <w:rFonts w:ascii="Times New Roman" w:cs="Times New Roman" w:eastAsia="Times New Roman" w:hAnsi="Times New Roman"/>
          <w:b/>
          <w:bCs/>
          <w:color w:val="000000"/>
          <w:sz w:val="24"/>
          <w:szCs w:val="24"/>
        </w:rPr>
        <w:t xml:space="preserve">2. Related Work</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Adaptive computation allocates processing conditionally on the input. Graves [1] introduced Adaptive Computation Time, showing that learned computation depth can respond to problem difficulty; the present study uses a simpler two-stage abstraction (a fast prediction followed by optional verification) but shares the principle that extra computation should be triggered selectively rather than uniformly.</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Selective classification studies a related reject-option problem in which a model can abstain on selected inputs. Geifman and El-Yaniv [2] formalized selective classification for deep networks and the coverage-risk trade-off. Here the decision is not permanent abstention: selected cases receive a stronger verification step, and the question is which pre-deployment signal should drive the selection.</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Confidence is a natural routing signal because it is meant to track correctness. Guo et al. [3] showed that modern neural networks can be poorly calibrated, which motivates treating confidence strength itself as a variable rather than a constant - the role w_conf plays in this study's design. Kadavath et al. [4] studied whether language models can predict when they know an answer, a related but distinct question about self-assessment rather than routing under a fixed budget.</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Learning-to-defer formalizes systems that decide when another decision-maker should take over. Madras et al. [6] and Mozannar and Sontag [7] give complementary foundations for routing and deferral policies. The present design differs in emphasis: rather than proposing a new deferral policy, it asks whether the value of a candidate input to any such policy can be predicted cheaply before the policy is deployed.</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Self-consistency and repeated reasoning (Wang et al. [5]) are another route to spending additional inference compute selectively; that literature motivates the general routing problem without addressing how to decide, in advance, whether a specific auxiliary signal is worth the engineering cost of using it - the gap this paper addresses.</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The broader statistical idea underlying H1-H3 - that the incremental value of an additional covariate depends on how much variance a baseline already explains - is long established in the analysis-of-covariance and added-variable-regression literature; conditional mutual information between a candidate signal and an outcome, given an existing signal, is a natural formalization. This paper's contribution is not that idea itself but a validated operational test built on it: a specific, cheap, held-out diagnostic (delta-AUC) shown here to predict an expensive downstream quantity (routing gain) across unseen generators, unseen degradation, and real datasets, with the test specified and its pass/fail criteria fixed before any result was observed.</w:t>
      </w:r>
    </w:p>
    <w:p>
      <w:pPr>
        <w:pStyle w:val="Heading1"/>
        <w:spacing w:after="120" w:before="240" w:line="480" w:lineRule="auto"/>
      </w:pPr>
      <w:r>
        <w:rPr>
          <w:rFonts w:ascii="Times New Roman" w:cs="Times New Roman" w:eastAsia="Times New Roman" w:hAnsi="Times New Roman"/>
          <w:b/>
          <w:bCs/>
          <w:color w:val="000000"/>
          <w:sz w:val="24"/>
          <w:szCs w:val="24"/>
        </w:rPr>
        <w:t xml:space="preserve">3. Preregistration and Deviations</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All hypotheses, the experimental design (Sections 4-6 below), support criteria, and multiplicity handling were fixed in advance and archived with a persistent identifier before this study's code was run: https://doi.org/10.5281/zenodo.22963978. An exploratory pilot (Zenodo DOI 10.5281/zenodo.22955744) is disclosed as such and is not used as confirmatory evidence anywhere in this paper.</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Five deviations from the preregistered plan occurred during implementation and are logged with dates, reasons, and whether each was made before or after any result was observed, in the archived DEVIATIONS.md accompanying the code release (Zenodo DOI 10.5281/zenodo.22967033). Two are summarised here because they affect how results should be read. First, the held-out AUC diagnostic was corrected during pre-run testing to fit the baseline-only and baseline-plus-signal models on the same data split; an earlier draft compared models fit on different splits, which a redundant-copy control (Section 4.3) caught before any confirmatory result existed. Second, the audit check bounding routing-gain deviation for an exact-duplicate control signal was split by gate learner after the full run: gradient boosting stayed within the pre-specified 2.0 percentage-point bound (maximum 1.13 points across 880 cells), while the multilayer perceptron occasionally exceeded it (maximum 2.78 points, median 0.0), a pattern consistent with known MLP training instability under a collinear duplicate feature rather than the duplicate carrying information. This widened only that audit tolerance; it did not alter any hypothesis test.</w:t>
      </w:r>
    </w:p>
    <w:p>
      <w:pPr>
        <w:pStyle w:val="Heading1"/>
        <w:spacing w:after="120" w:before="240" w:line="480" w:lineRule="auto"/>
      </w:pPr>
      <w:r>
        <w:rPr>
          <w:rFonts w:ascii="Times New Roman" w:cs="Times New Roman" w:eastAsia="Times New Roman" w:hAnsi="Times New Roman"/>
          <w:b/>
          <w:bCs/>
          <w:color w:val="000000"/>
          <w:sz w:val="24"/>
          <w:szCs w:val="24"/>
        </w:rPr>
        <w:t xml:space="preserve">4. Synthetic Experimental Design</w:t>
      </w:r>
    </w:p>
    <w:p>
      <w:pPr>
        <w:pStyle w:val="Heading2"/>
        <w:spacing w:after="120" w:before="240" w:line="480" w:lineRule="auto"/>
      </w:pPr>
      <w:r>
        <w:rPr>
          <w:rFonts w:ascii="Times New Roman" w:cs="Times New Roman" w:eastAsia="Times New Roman" w:hAnsi="Times New Roman"/>
          <w:b/>
          <w:bCs/>
          <w:color w:val="000000"/>
          <w:sz w:val="24"/>
          <w:szCs w:val="24"/>
        </w:rPr>
        <w:t xml:space="preserve">4.1 Data-generating processes</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Features X (8-dimensional) are drawn N(0, I). The fast model's target uses only X0-X3: eta = 1.8 X0 - 1.4 X1 + 1.1 X2 - 0.9 X3, y_fast = 1[eta &gt;= 0]. Latent difficulty uses X4-X7: d = 0.90 X4 - 0.70 X5 + 0.45 X6 + 0.25 X7 + noise. The fast model's prediction is flipped (made wrong) with probability p_flip, which depends on the standardized negative absolute decision margin of the fast model (u_z, larger when the fast model is less confident) and on standardized latent difficulty (d_z):</w:t>
      </w:r>
    </w:p>
    <w:p>
      <w:pPr>
        <w:spacing w:after="0" w:line="480" w:lineRule="auto"/>
        <w:ind w:left="720"/>
        <w:jc w:val="left"/>
      </w:pPr>
      <w:r>
        <w:rPr>
          <w:rFonts w:ascii="Times New Roman" w:cs="Times New Roman" w:eastAsia="Times New Roman" w:hAnsi="Times New Roman"/>
          <w:b w:val="false"/>
          <w:bCs w:val="false"/>
          <w:i w:val="false"/>
          <w:iCs w:val="false"/>
          <w:sz w:val="24"/>
          <w:szCs w:val="24"/>
        </w:rPr>
        <w:t xml:space="preserve">Linear generator: p_flip = sigma(B0 + w_conf * u_z + 1.25 * d_z)</w:t>
      </w:r>
    </w:p>
    <w:p>
      <w:pPr>
        <w:spacing w:after="0" w:line="480" w:lineRule="auto"/>
        <w:ind w:left="720"/>
        <w:jc w:val="left"/>
      </w:pPr>
      <w:r>
        <w:rPr>
          <w:rFonts w:ascii="Times New Roman" w:cs="Times New Roman" w:eastAsia="Times New Roman" w:hAnsi="Times New Roman"/>
          <w:b w:val="false"/>
          <w:bCs w:val="false"/>
          <w:i w:val="false"/>
          <w:iCs w:val="false"/>
          <w:sz w:val="24"/>
          <w:szCs w:val="24"/>
        </w:rPr>
        <w:t xml:space="preserve">Nonlinear generator: p_flip = sigma(B0 + w_conf * u_z + 1.25*(d_z + 0.5 d_z^2 - 0.5) + 0.6 u_z d_z + 0.8*1[d_z &gt; 1])</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B0 is solved per (generator, w_conf) cell so the expected flip rate matches a fixed reference rate (33.35%), holding realized task difficulty constant across the grid. w_conf is a synthetic generator parameter controlling how informative the fast model's own confidence is about its error, not an empirical scale for any real system's confidence quality; it is swept over 11 levels, 0.0 to 2.0 in steps of 0.2.</w:t>
      </w:r>
    </w:p>
    <w:p>
      <w:pPr>
        <w:pStyle w:val="Heading2"/>
        <w:spacing w:after="120" w:before="240" w:line="480" w:lineRule="auto"/>
      </w:pPr>
      <w:r>
        <w:rPr>
          <w:rFonts w:ascii="Times New Roman" w:cs="Times New Roman" w:eastAsia="Times New Roman" w:hAnsi="Times New Roman"/>
          <w:b/>
          <w:bCs/>
          <w:color w:val="000000"/>
          <w:sz w:val="24"/>
          <w:szCs w:val="24"/>
        </w:rPr>
        <w:t xml:space="preserve">4.2 Candidate signal (cue) construction</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The candidate auxiliary signal q is a noisy observation of standardized latent difficulty: q = (a * d_z + noise) / sqrt(a^2 + 1), with strength a in {0 (null), redundant copy of the confidence feature, 0.25, 0.45, 0.70, 1.0, 1.5, 2.0, 3.0}. The null and redundant-copy conditions are controls: a null signal must show zero routing value, and an exact copy of an existing baseline feature must show exactly zero incremental value for a linear gate, by construction, regardless of its apparent correlation with the outcome. Both controls were verified before any confirmatory hypothesis was evaluated (Section 4.3).</w:t>
      </w:r>
    </w:p>
    <w:p>
      <w:pPr>
        <w:pStyle w:val="Heading2"/>
        <w:spacing w:after="120" w:before="240" w:line="480" w:lineRule="auto"/>
      </w:pPr>
      <w:r>
        <w:rPr>
          <w:rFonts w:ascii="Times New Roman" w:cs="Times New Roman" w:eastAsia="Times New Roman" w:hAnsi="Times New Roman"/>
          <w:b/>
          <w:bCs/>
          <w:color w:val="000000"/>
          <w:sz w:val="24"/>
          <w:szCs w:val="24"/>
        </w:rPr>
        <w:t xml:space="preserve">4.3 Baselines and controls</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Three baselines of increasing strength are used. B1 is a confidence-only gate (logistic regression on the standardized margin feature). B2 comprises two calibrated variants of B1 (temperature scaling, isotonic regression); because any strictly monotone recalibration of a single feature preserves the ranking of cases, B2 is expected to select identical cases to B1 under top-budget selection, and this was verified rather than assumed: the maximum observed difference in routing accuracy between B1 and either B2 variant, across the full grid, was 0.008 percentage points. B3 is a learned error predictor (gradient boosting) using every input the fast model sees plus its confidence feature - the strongest baseline tested, and the one against which H2 is evaluated.</w:t>
      </w:r>
    </w:p>
    <w:p>
      <w:pPr>
        <w:pStyle w:val="Heading2"/>
        <w:spacing w:after="120" w:before="240" w:line="480" w:lineRule="auto"/>
      </w:pPr>
      <w:r>
        <w:rPr>
          <w:rFonts w:ascii="Times New Roman" w:cs="Times New Roman" w:eastAsia="Times New Roman" w:hAnsi="Times New Roman"/>
          <w:b/>
          <w:bCs/>
          <w:color w:val="000000"/>
          <w:sz w:val="24"/>
          <w:szCs w:val="24"/>
        </w:rPr>
        <w:t xml:space="preserve">4.4 Gate learners, budgets, and audit checks</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Three gate learners are used throughout: logistic regression, gradient boosting (HistGradientBoostingClassifier), and a multilayer perceptron. Gates are fit on the training split (12,000 cases); delta-AUC diagnostics are fit on the validation split (6,000) and evaluated on the test split (6,000), so the diagnostic and the outcome it predicts are never computed on the same fitting data. Verification budgets of 5% to 40% are tested; the primary budget is 20%. Twenty seeds are used per (generator, w_conf, signal-strength, learner) cell. Nine structural audit checks (split isolation, the two control conditions above, oracle dominance, no refitting under shift, and independent-rerun bit-identical reproducibility) all passed; the full table is in the archived results (Zenodo DOI 10.5281/zenodo.22967033).</w:t>
      </w:r>
    </w:p>
    <w:p>
      <w:pPr>
        <w:pStyle w:val="Heading1"/>
        <w:spacing w:after="120" w:before="240" w:line="480" w:lineRule="auto"/>
      </w:pPr>
      <w:r>
        <w:rPr>
          <w:rFonts w:ascii="Times New Roman" w:cs="Times New Roman" w:eastAsia="Times New Roman" w:hAnsi="Times New Roman"/>
          <w:b/>
          <w:bCs/>
          <w:color w:val="000000"/>
          <w:sz w:val="24"/>
          <w:szCs w:val="24"/>
        </w:rPr>
        <w:t xml:space="preserve">5. Statistical Analysis</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Seed is the unit of replication throughout. H1 fits an isotonic mapping from delta-AUC to routing gain on development cells (linear generator, seeds 1-10) and evaluates it, without refitting, on two held-out sets: the same generator's seeds 11-20, and the nonlinear generator's full 20 seeds. H2 uses a seed-level bootstrap (5,000 resamples) for the mean routing-gain advantage over B3 at a single pre-specified cell (linear generator, w_conf = 1.0, strongest signal, primary budget). H3 uses seed-level Spearman correlation with a permutation test (5,000 permutations) in each of eight (generator, signal-strength) conditions, Holm-corrected within that family. H4 uses seed-level Spearman correlation and a bootstrap CI at the most severe degradation level. H5 uses a single Spearman correlation across 40 dataset-seed cells pooled. Because the observed effects for H1, H2, and H4 are far from their pre-specified thresholds (correlations of 0.94-0.98 against thresholds of 0.60-0.80; confidence intervals excluding zero by a wide margin), no plausible correction across the five-hypothesis family would alter any support decision; this is stated rather than a family-wise correction being selectively applied only where convenient.</w:t>
      </w:r>
    </w:p>
    <w:p>
      <w:pPr>
        <w:pStyle w:val="Heading1"/>
        <w:spacing w:after="120" w:before="240" w:line="480" w:lineRule="auto"/>
      </w:pPr>
      <w:r>
        <w:rPr>
          <w:rFonts w:ascii="Times New Roman" w:cs="Times New Roman" w:eastAsia="Times New Roman" w:hAnsi="Times New Roman"/>
          <w:b/>
          <w:bCs/>
          <w:color w:val="000000"/>
          <w:sz w:val="24"/>
          <w:szCs w:val="24"/>
        </w:rPr>
        <w:t xml:space="preserve">6. Real-Data Design (H5)</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Four public OpenML datasets are used: adult, bank-marketing, electricity, and MagicTelescope. For each dataset and 10 seeds, numeric features are split randomly into a fast group (50%) and a held-out group (50%). The fast model is logistic regression on the fast group; the routing outcome is verified accuracy at a 20% budget, with a gradient-boosting model on all features standing in for a realistic (not oracle) verifier. The candidate signal is a cross-fitted predicted probability of fast-model error from a logistic model trained on the held-out feature group only (5-fold cross-fitting on the training split, avoiding leakage). B1 and B3 are constructed as in Section 4.3, restricted to the fast feature group. delta-AUC and routing gain are computed exactly as in the synthetic study.</w:t>
      </w:r>
    </w:p>
    <w:p>
      <w:pPr>
        <w:pStyle w:val="Heading1"/>
        <w:spacing w:after="120" w:before="240" w:line="480" w:lineRule="auto"/>
      </w:pPr>
      <w:r>
        <w:rPr>
          <w:rFonts w:ascii="Times New Roman" w:cs="Times New Roman" w:eastAsia="Times New Roman" w:hAnsi="Times New Roman"/>
          <w:b/>
          <w:bCs/>
          <w:color w:val="000000"/>
          <w:sz w:val="24"/>
          <w:szCs w:val="24"/>
        </w:rPr>
        <w:t xml:space="preserve">7. Results</w:t>
      </w:r>
    </w:p>
    <w:p>
      <w:pPr>
        <w:pStyle w:val="Heading2"/>
        <w:spacing w:after="120" w:before="240" w:line="480" w:lineRule="auto"/>
      </w:pPr>
      <w:r>
        <w:rPr>
          <w:rFonts w:ascii="Times New Roman" w:cs="Times New Roman" w:eastAsia="Times New Roman" w:hAnsi="Times New Roman"/>
          <w:b/>
          <w:bCs/>
          <w:color w:val="000000"/>
          <w:sz w:val="24"/>
          <w:szCs w:val="24"/>
        </w:rPr>
        <w:t xml:space="preserve">7.1 H1 - delta-AUC predicts routing gain on held-out seeds and an unseen generator</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An isotonic mapping from delta-AUC to routing gain, fit only on development cells (linear generator, seeds 1-10, logistic gate, 20% budget, n = 990), predicted routing gain on two held-out sets it never saw during fitting: the same generator's remaining seeds (Spearman rho = 0.976, mean absolute error 0.21 percentage points, n = 990) and, more demanding, the nonlinear generator in its entirety (rho = 0.980, n = 1,980). Both exceed the pre-specified thresholds (0.80 and 0.70 respectively) by a wide margin. H1 is supported.</w:t>
      </w:r>
    </w:p>
    <w:p>
      <w:pPr>
        <w:pStyle w:val="Heading2"/>
        <w:spacing w:after="120" w:before="240" w:line="480" w:lineRule="auto"/>
      </w:pPr>
      <w:r>
        <w:rPr>
          <w:rFonts w:ascii="Times New Roman" w:cs="Times New Roman" w:eastAsia="Times New Roman" w:hAnsi="Times New Roman"/>
          <w:b/>
          <w:bCs/>
          <w:color w:val="000000"/>
          <w:sz w:val="24"/>
          <w:szCs w:val="24"/>
        </w:rPr>
        <w:t xml:space="preserve">7.2 H2 - routing value survives a strong baseline</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Against B3 - a gradient-boosting error predictor with access to every input the fast model sees - the strongest tested signal (a = 2.0) retained a positive routing-gain advantage at w_conf = 1.0 and the primary 20% budget: mean 3.67 percentage points across 20 seeds, 95% bootstrap CI [3.54, 3.79]. The interval excludes zero by a wide margin. H2 is supported.</w:t>
      </w:r>
    </w:p>
    <w:p>
      <w:pPr>
        <w:pStyle w:val="Heading2"/>
        <w:spacing w:after="120" w:before="240" w:line="480" w:lineRule="auto"/>
      </w:pPr>
      <w:r>
        <w:rPr>
          <w:rFonts w:ascii="Times New Roman" w:cs="Times New Roman" w:eastAsia="Times New Roman" w:hAnsi="Times New Roman"/>
          <w:b/>
          <w:bCs/>
          <w:color w:val="000000"/>
          <w:sz w:val="24"/>
          <w:szCs w:val="24"/>
        </w:rPr>
        <w:t xml:space="preserve">7.3 H3 - gain declines as the baseline strengthens</w:t>
      </w:r>
    </w:p>
    <w:p>
      <w:pPr>
        <w:spacing w:after="120" w:before="120" w:line="240" w:lineRule="auto"/>
      </w:pPr>
      <w:r>
        <w:rPr>
          <w:rFonts w:ascii="Times New Roman" w:cs="Times New Roman" w:eastAsia="Times New Roman" w:hAnsi="Times New Roman"/>
          <w:i/>
          <w:iCs/>
          <w:sz w:val="20"/>
          <w:szCs w:val="20"/>
        </w:rPr>
        <w:t xml:space="preserve">Table 1. Routing gain over B1 (percentage points) for the strongest signal (a = 2.0), 20% budget, logistic gate, by generator and w_conf.</w:t>
      </w:r>
    </w:p>
    <w:tbl>
      <w:tblPr>
        <w:tblW w:type="dxa" w:w="7680"/>
        <w:tblBorders>
          <w:top w:val="single" w:color="auto" w:sz="4"/>
          <w:left w:val="single" w:color="auto" w:sz="4"/>
          <w:bottom w:val="single" w:color="auto" w:sz="4"/>
          <w:right w:val="single" w:color="auto" w:sz="4"/>
          <w:insideH w:val="single" w:color="auto" w:sz="4"/>
          <w:insideV w:val="single" w:color="auto" w:sz="4"/>
        </w:tblBorders>
      </w:tblPr>
      <w:tblGrid>
        <w:gridCol w:w="1200"/>
        <w:gridCol w:w="1080"/>
        <w:gridCol w:w="1080"/>
        <w:gridCol w:w="1080"/>
        <w:gridCol w:w="1080"/>
        <w:gridCol w:w="1080"/>
        <w:gridCol w:w="1080"/>
      </w:tblGrid>
      <w:tr>
        <w:trPr>
          <w:tblHeader/>
        </w:trPr>
        <w:tc>
          <w:tcPr>
            <w:tcW w:type="dxa" w:w="120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w_conf</w:t>
            </w:r>
          </w:p>
        </w:tc>
        <w:tc>
          <w:tcPr>
            <w:tcW w:type="dxa" w:w="108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0.0</w:t>
            </w:r>
          </w:p>
        </w:tc>
        <w:tc>
          <w:tcPr>
            <w:tcW w:type="dxa" w:w="108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0.4</w:t>
            </w:r>
          </w:p>
        </w:tc>
        <w:tc>
          <w:tcPr>
            <w:tcW w:type="dxa" w:w="108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0.8</w:t>
            </w:r>
          </w:p>
        </w:tc>
        <w:tc>
          <w:tcPr>
            <w:tcW w:type="dxa" w:w="108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1.2</w:t>
            </w:r>
          </w:p>
        </w:tc>
        <w:tc>
          <w:tcPr>
            <w:tcW w:type="dxa" w:w="108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1.6</w:t>
            </w:r>
          </w:p>
        </w:tc>
        <w:tc>
          <w:tcPr>
            <w:tcW w:type="dxa" w:w="108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2.0</w:t>
            </w:r>
          </w:p>
        </w:tc>
      </w:tr>
      <w:tr>
        <w:tc>
          <w:tcPr>
            <w:tcW w:type="dxa" w:w="12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Linear</w:t>
            </w:r>
          </w:p>
        </w:tc>
        <w:tc>
          <w:tcPr>
            <w:tcW w:type="dxa" w:w="108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6.01</w:t>
            </w:r>
          </w:p>
        </w:tc>
        <w:tc>
          <w:tcPr>
            <w:tcW w:type="dxa" w:w="108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4.79</w:t>
            </w:r>
          </w:p>
        </w:tc>
        <w:tc>
          <w:tcPr>
            <w:tcW w:type="dxa" w:w="108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4.01</w:t>
            </w:r>
          </w:p>
        </w:tc>
        <w:tc>
          <w:tcPr>
            <w:tcW w:type="dxa" w:w="108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3.30</w:t>
            </w:r>
          </w:p>
        </w:tc>
        <w:tc>
          <w:tcPr>
            <w:tcW w:type="dxa" w:w="108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2.82</w:t>
            </w:r>
          </w:p>
        </w:tc>
        <w:tc>
          <w:tcPr>
            <w:tcW w:type="dxa" w:w="108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2.39</w:t>
            </w:r>
          </w:p>
        </w:tc>
      </w:tr>
      <w:tr>
        <w:tc>
          <w:tcPr>
            <w:tcW w:type="dxa" w:w="12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Nonlinear</w:t>
            </w:r>
          </w:p>
        </w:tc>
        <w:tc>
          <w:tcPr>
            <w:tcW w:type="dxa" w:w="108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7.98</w:t>
            </w:r>
          </w:p>
        </w:tc>
        <w:tc>
          <w:tcPr>
            <w:tcW w:type="dxa" w:w="108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6.97</w:t>
            </w:r>
          </w:p>
        </w:tc>
        <w:tc>
          <w:tcPr>
            <w:tcW w:type="dxa" w:w="108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5.96</w:t>
            </w:r>
          </w:p>
        </w:tc>
        <w:tc>
          <w:tcPr>
            <w:tcW w:type="dxa" w:w="108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5.13</w:t>
            </w:r>
          </w:p>
        </w:tc>
        <w:tc>
          <w:tcPr>
            <w:tcW w:type="dxa" w:w="108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4.39</w:t>
            </w:r>
          </w:p>
        </w:tc>
        <w:tc>
          <w:tcPr>
            <w:tcW w:type="dxa" w:w="108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3.75</w:t>
            </w:r>
          </w:p>
        </w:tc>
      </w:tr>
    </w:tbl>
    <w:p>
      <w:pPr>
        <w:spacing w:after="0" w:line="480" w:lineRule="auto"/>
        <w:jc w:val="left"/>
      </w:pPr>
      <w:r>
        <w:rPr>
          <w:rFonts w:ascii="Times New Roman" w:cs="Times New Roman" w:eastAsia="Times New Roman" w:hAnsi="Times New Roman"/>
          <w:b w:val="false"/>
          <w:bCs w:val="false"/>
          <w:i w:val="false"/>
          <w:iCs w:val="false"/>
          <w:sz w:val="24"/>
          <w:szCs w:val="24"/>
        </w:rPr>
        <w:t xml:space="preserve">Across all eight (generator, signal-strength) conditions tested (a in {1.0, 1.5, 2.0, 3.0}, both generators), the seed-level correlation between w_conf and routing gain was negative and at or beyond the -0.80 threshold in every condition (range -0.950 to -0.982; Holm-adjusted p = 0.0016 in each). H3 is supported.</w:t>
      </w:r>
    </w:p>
    <w:p>
      <w:pPr>
        <w:pStyle w:val="Heading2"/>
        <w:spacing w:after="120" w:before="240" w:line="480" w:lineRule="auto"/>
      </w:pPr>
      <w:r>
        <w:rPr>
          <w:rFonts w:ascii="Times New Roman" w:cs="Times New Roman" w:eastAsia="Times New Roman" w:hAnsi="Times New Roman"/>
          <w:b/>
          <w:bCs/>
          <w:color w:val="000000"/>
          <w:sz w:val="24"/>
          <w:szCs w:val="24"/>
        </w:rPr>
        <w:t xml:space="preserve">7.4 H4 - value erodes, and can reverse, as the signal degrades post-deployment</w:t>
      </w:r>
    </w:p>
    <w:p>
      <w:pPr>
        <w:spacing w:after="120" w:before="120" w:line="240" w:lineRule="auto"/>
      </w:pPr>
      <w:r>
        <w:rPr>
          <w:rFonts w:ascii="Times New Roman" w:cs="Times New Roman" w:eastAsia="Times New Roman" w:hAnsi="Times New Roman"/>
          <w:i/>
          <w:iCs/>
          <w:sz w:val="20"/>
          <w:szCs w:val="20"/>
        </w:rPr>
        <w:t xml:space="preserve">Table 2. Routing gain over B3 (percentage points) as cue noise increases post-deployment, without gate refitting (linear generator, w_conf = 1.0, a = 2.0, 20 seeds per severity).</w:t>
      </w:r>
    </w:p>
    <w:tbl>
      <w:tblPr>
        <w:tblW w:type="dxa" w:w="7650"/>
        <w:tblBorders>
          <w:top w:val="single" w:color="auto" w:sz="4"/>
          <w:left w:val="single" w:color="auto" w:sz="4"/>
          <w:bottom w:val="single" w:color="auto" w:sz="4"/>
          <w:right w:val="single" w:color="auto" w:sz="4"/>
          <w:insideH w:val="single" w:color="auto" w:sz="4"/>
          <w:insideV w:val="single" w:color="auto" w:sz="4"/>
        </w:tblBorders>
      </w:tblPr>
      <w:tblGrid>
        <w:gridCol w:w="1400"/>
        <w:gridCol w:w="1250"/>
        <w:gridCol w:w="1250"/>
        <w:gridCol w:w="1250"/>
        <w:gridCol w:w="1250"/>
        <w:gridCol w:w="1250"/>
      </w:tblGrid>
      <w:tr>
        <w:trPr>
          <w:tblHeader/>
        </w:trPr>
        <w:tc>
          <w:tcPr>
            <w:tcW w:type="dxa" w:w="140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Noise multiplier</w:t>
            </w:r>
          </w:p>
        </w:tc>
        <w:tc>
          <w:tcPr>
            <w:tcW w:type="dxa" w:w="125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1.0x</w:t>
            </w:r>
          </w:p>
        </w:tc>
        <w:tc>
          <w:tcPr>
            <w:tcW w:type="dxa" w:w="125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1.5x</w:t>
            </w:r>
          </w:p>
        </w:tc>
        <w:tc>
          <w:tcPr>
            <w:tcW w:type="dxa" w:w="125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2.0x</w:t>
            </w:r>
          </w:p>
        </w:tc>
        <w:tc>
          <w:tcPr>
            <w:tcW w:type="dxa" w:w="125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3.0x</w:t>
            </w:r>
          </w:p>
        </w:tc>
        <w:tc>
          <w:tcPr>
            <w:tcW w:type="dxa" w:w="125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5.0x</w:t>
            </w:r>
          </w:p>
        </w:tc>
      </w:tr>
      <w:tr>
        <w:tc>
          <w:tcPr>
            <w:tcW w:type="dxa" w:w="14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Mean gain (pp)</w:t>
            </w:r>
          </w:p>
        </w:tc>
        <w:tc>
          <w:tcPr>
            <w:tcW w:type="dxa" w:w="125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3.79</w:t>
            </w:r>
          </w:p>
        </w:tc>
        <w:tc>
          <w:tcPr>
            <w:tcW w:type="dxa" w:w="125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3.18</w:t>
            </w:r>
          </w:p>
        </w:tc>
        <w:tc>
          <w:tcPr>
            <w:tcW w:type="dxa" w:w="125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2.47</w:t>
            </w:r>
          </w:p>
        </w:tc>
        <w:tc>
          <w:tcPr>
            <w:tcW w:type="dxa" w:w="125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1.37</w:t>
            </w:r>
          </w:p>
        </w:tc>
        <w:tc>
          <w:tcPr>
            <w:tcW w:type="dxa" w:w="125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-0.32</w:t>
            </w:r>
          </w:p>
        </w:tc>
      </w:tr>
    </w:tbl>
    <w:p>
      <w:pPr>
        <w:spacing w:after="0" w:line="480" w:lineRule="auto"/>
        <w:jc w:val="left"/>
      </w:pPr>
      <w:r>
        <w:rPr>
          <w:rFonts w:ascii="Times New Roman" w:cs="Times New Roman" w:eastAsia="Times New Roman" w:hAnsi="Times New Roman"/>
          <w:b w:val="false"/>
          <w:bCs w:val="false"/>
          <w:i w:val="false"/>
          <w:iCs w:val="false"/>
          <w:sz w:val="24"/>
          <w:szCs w:val="24"/>
        </w:rPr>
        <w:t xml:space="preserve">Severity and mean routing gain were strongly negatively correlated (Spearman rho = -0.976). At the most severe degradation tested, mean gain was negative (-0.32 percentage points, 95% CI [-0.50, -0.15]) - the gate, still selecting cases as if the signal were reliable, actively hurt accuracy relative to the baseline it was meant to improve on. This is a stronger result than the pre-specified criterion ("not positive"). H4 is supported.</w:t>
      </w:r>
    </w:p>
    <w:p>
      <w:pPr>
        <w:pStyle w:val="Heading2"/>
        <w:spacing w:after="120" w:before="240" w:line="480" w:lineRule="auto"/>
      </w:pPr>
      <w:r>
        <w:rPr>
          <w:rFonts w:ascii="Times New Roman" w:cs="Times New Roman" w:eastAsia="Times New Roman" w:hAnsi="Times New Roman"/>
          <w:b/>
          <w:bCs/>
          <w:color w:val="000000"/>
          <w:sz w:val="24"/>
          <w:szCs w:val="24"/>
        </w:rPr>
        <w:t xml:space="preserve">7.5 H5 - the same relationship holds on real data, including where the signal is harmful</w:t>
      </w:r>
    </w:p>
    <w:p>
      <w:pPr>
        <w:spacing w:after="120" w:before="120" w:line="240" w:lineRule="auto"/>
      </w:pPr>
      <w:r>
        <w:rPr>
          <w:rFonts w:ascii="Times New Roman" w:cs="Times New Roman" w:eastAsia="Times New Roman" w:hAnsi="Times New Roman"/>
          <w:i/>
          <w:iCs/>
          <w:sz w:val="20"/>
          <w:szCs w:val="20"/>
        </w:rPr>
        <w:t xml:space="preserve">Table 3. Real-data results by dataset (mean over 10 seeds): mean delta-AUC and mean routing gain over B3 at the 20% budget.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tblGrid>
      <w:tr>
        <w:trPr>
          <w:tblHeader/>
        </w:trPr>
        <w:tc>
          <w:tcPr>
            <w:tcW w:type="dxa" w:w="300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Dataset</w:t>
            </w:r>
          </w:p>
        </w:tc>
        <w:tc>
          <w:tcPr>
            <w:tcW w:type="dxa" w:w="250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Mean delta-AUC</w:t>
            </w:r>
          </w:p>
        </w:tc>
        <w:tc>
          <w:tcPr>
            <w:tcW w:type="dxa" w:w="250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Mean gain (pp)</w:t>
            </w:r>
          </w:p>
        </w:tc>
      </w:tr>
      <w:tr>
        <w:tc>
          <w:tcPr>
            <w:tcW w:type="dxa" w:w="30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adult</w:t>
            </w:r>
          </w:p>
        </w:tc>
        <w:tc>
          <w:tcPr>
            <w:tcW w:type="dxa" w:w="25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+0.0530</w:t>
            </w:r>
          </w:p>
        </w:tc>
        <w:tc>
          <w:tcPr>
            <w:tcW w:type="dxa" w:w="25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+1.04</w:t>
            </w:r>
          </w:p>
        </w:tc>
      </w:tr>
      <w:tr>
        <w:tc>
          <w:tcPr>
            <w:tcW w:type="dxa" w:w="30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bank-marketing</w:t>
            </w:r>
          </w:p>
        </w:tc>
        <w:tc>
          <w:tcPr>
            <w:tcW w:type="dxa" w:w="25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+0.0907</w:t>
            </w:r>
          </w:p>
        </w:tc>
        <w:tc>
          <w:tcPr>
            <w:tcW w:type="dxa" w:w="25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+0.83</w:t>
            </w:r>
          </w:p>
        </w:tc>
      </w:tr>
      <w:tr>
        <w:tc>
          <w:tcPr>
            <w:tcW w:type="dxa" w:w="30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electricity</w:t>
            </w:r>
          </w:p>
        </w:tc>
        <w:tc>
          <w:tcPr>
            <w:tcW w:type="dxa" w:w="25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-0.0772</w:t>
            </w:r>
          </w:p>
        </w:tc>
        <w:tc>
          <w:tcPr>
            <w:tcW w:type="dxa" w:w="25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-2.42</w:t>
            </w:r>
          </w:p>
        </w:tc>
      </w:tr>
      <w:tr>
        <w:tc>
          <w:tcPr>
            <w:tcW w:type="dxa" w:w="30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MagicTelescope</w:t>
            </w:r>
          </w:p>
        </w:tc>
        <w:tc>
          <w:tcPr>
            <w:tcW w:type="dxa" w:w="25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-0.0139</w:t>
            </w:r>
          </w:p>
        </w:tc>
        <w:tc>
          <w:tcPr>
            <w:tcW w:type="dxa" w:w="25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-1.06</w:t>
            </w:r>
          </w:p>
        </w:tc>
      </w:tr>
    </w:tbl>
    <w:p>
      <w:pPr>
        <w:spacing w:after="0" w:line="480" w:lineRule="auto"/>
        <w:jc w:val="left"/>
      </w:pPr>
      <w:r>
        <w:rPr>
          <w:rFonts w:ascii="Times New Roman" w:cs="Times New Roman" w:eastAsia="Times New Roman" w:hAnsi="Times New Roman"/>
          <w:b w:val="false"/>
          <w:bCs w:val="false"/>
          <w:i w:val="false"/>
          <w:iCs w:val="false"/>
          <w:sz w:val="24"/>
          <w:szCs w:val="24"/>
        </w:rPr>
        <w:t xml:space="preserve">Pooling all 40 dataset-seed cells, delta-AUC and routing gain were strongly correlated (Spearman rho = 0.945, p = 5.1e-20), exceeding the pre-specified threshold of 0.60. Critically, the sign of the relationship held at the dataset level as well as the pooled level: on electricity, the candidate signal was harmful in all 10 seeds, and its negative delta-AUC correctly flagged this before any routing decision was made. This is the paper's clearest illustration of the diagnostic's practical use - it would have correctly advised against deploying the signal on electricity while correctly advising for it on adult and bank-marketing. H5 is supported.</w:t>
      </w:r>
    </w:p>
    <w:p>
      <w:pPr>
        <w:pStyle w:val="Heading1"/>
        <w:spacing w:after="120" w:before="240" w:line="480" w:lineRule="auto"/>
      </w:pPr>
      <w:r>
        <w:rPr>
          <w:rFonts w:ascii="Times New Roman" w:cs="Times New Roman" w:eastAsia="Times New Roman" w:hAnsi="Times New Roman"/>
          <w:b/>
          <w:bCs/>
          <w:color w:val="000000"/>
          <w:sz w:val="24"/>
          <w:szCs w:val="24"/>
        </w:rPr>
        <w:t xml:space="preserve">8. Discussion</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All five preregistered hypotheses were supported. The result that matters operationally is not any single routing-gain number but the demonstrated reliability of delta-AUC as a pre-deployment predictor of routing gain: it transferred to unseen seeds, to an unseen nonlinear generator, to post-deployment degradation, and to real tabular data with heterogeneous, sometimes negative, outcomes. A practitioner deciding whether to add a candidate signal to a routing system can compute delta-AUC on held-out data at negligible cost and obtain a reliable forecast of whether the signal will help, hurt, or do nothing once deployed, without needing to run the deployment itself.</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The electricity result deserves emphasis. A study that only reported positive results, or that reported a single pooled correlation without the dataset-level breakdown, would understate the paper's central claim: the diagnostic's value is precisely that it distinguishes cases where a plausible-looking auxiliary signal helps from cases where it does not, including cases where it is actively harmful. This directly answers a standard objection to auxiliary-signal studies - that a positive result found in one setting will be reported while a negative result in another would not be - by preregistering the test before any dataset was run and by requiring the correlation to hold at the pooled level with an a priori threshold, not after selecting favourable datasets.</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The B3 baseline (H2) addresses a related objection: that an apparent routing benefit might reflect a weak comparison, not real value. Comparing against a learned error predictor that uses every input available to the fast model, rather than confidence alone, is a harder test, and the signal's value survived it, though at a substantially smaller margin (3.67 points) than against confidence alone. Practitioners should report routing gains against the strongest available baseline, not the most convenient one.</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H3's dense grid and dual generators directly test whether the declining-marginal-value pattern is an artifact of a particular functional form. It is not: the same qualitative pattern, and comparable effect sizes, appear whether the underlying process linking confidence, the candidate signal, and fast-model error is linear or has interaction and threshold terms the gate was never told about.</w:t>
      </w:r>
    </w:p>
    <w:p>
      <w:pPr>
        <w:pStyle w:val="Heading1"/>
        <w:spacing w:after="120" w:before="240" w:line="480" w:lineRule="auto"/>
      </w:pPr>
      <w:r>
        <w:rPr>
          <w:rFonts w:ascii="Times New Roman" w:cs="Times New Roman" w:eastAsia="Times New Roman" w:hAnsi="Times New Roman"/>
          <w:b/>
          <w:bCs/>
          <w:color w:val="000000"/>
          <w:sz w:val="24"/>
          <w:szCs w:val="24"/>
        </w:rPr>
        <w:t xml:space="preserve">9. Limitations</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 The synthetic generators, though nonlinear in one arm, are still specific parametric forms; H1b's transfer to a generator with interaction and threshold terms is reassuring but not a proof that the relationship holds for arbitrary generating processes.</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 Gate learners are limited to logistic regression, gradient boosting, and a multilayer perceptron; deep architectures on unstructured data (images, text) are not tested.</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 The B3 baseline, though strong, is not exhaustive; a practitioner's actual baseline may differ.</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 The real-data verifier (Section 6) is a strong model standing in for ground truth at verification time, not a human-in-the-loop or an independently validated oracle; this is disclosed as the realistic-verifier caveat rather than treated as an oracle guarantee.</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 Four datasets and one held-out feature split per seed were used for H5; a larger and more heterogeneous dataset pool would strengthen external validity further.</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 Verification is modelled as returning the true label for selected cases in the synthetic study; real verification (a second model, a human reviewer) may itself be imperfect.</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 w_conf is a synthetic generator parameter used to control baseline informativeness experimentally; it is not a validated scale for real confidence quality.</w:t>
      </w:r>
    </w:p>
    <w:p>
      <w:pPr>
        <w:pStyle w:val="Heading1"/>
        <w:spacing w:after="120" w:before="240" w:line="480" w:lineRule="auto"/>
      </w:pPr>
      <w:r>
        <w:rPr>
          <w:rFonts w:ascii="Times New Roman" w:cs="Times New Roman" w:eastAsia="Times New Roman" w:hAnsi="Times New Roman"/>
          <w:b/>
          <w:bCs/>
          <w:color w:val="000000"/>
          <w:sz w:val="24"/>
          <w:szCs w:val="24"/>
        </w:rPr>
        <w:t xml:space="preserve">10. Reproducibility and Data/Code Availability</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The preregistration (fixed before any v9 code was run) is archived at https://doi.org/10.5281/zenodo.22963978. The full synthetic pipeline, real-data script, all result files, the nine structural audit checks, a bit-identical independent-rerun comparison, and the deviations log are archived at https://doi.org/10.5281/zenodo.22967033 and at https://github.com/loopbackcinema/adaptive-verification-intuition-ladder. The exploratory pilot referenced in Sections 1 and 3 is archived separately at https://doi.org/10.5281/zenodo.22955744 and is not used as confirmatory evidence in this paper.</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The synthetic pipeline (build_v9_pipeline.py) is checkpointed per (generator, seed) and was run in full (2 generators x 20 seeds); two independent aggregations from the same checkpoints produced bit-identical research-output files. The real-data script (run_real_data_study.py) requires no synthetic component and can be run against any OpenML dataset by data ID.</w:t>
      </w:r>
    </w:p>
    <w:p>
      <w:pPr>
        <w:pStyle w:val="Heading1"/>
        <w:spacing w:after="120" w:before="240" w:line="480" w:lineRule="auto"/>
      </w:pPr>
      <w:r>
        <w:rPr>
          <w:rFonts w:ascii="Times New Roman" w:cs="Times New Roman" w:eastAsia="Times New Roman" w:hAnsi="Times New Roman"/>
          <w:b/>
          <w:bCs/>
          <w:color w:val="000000"/>
          <w:sz w:val="24"/>
          <w:szCs w:val="24"/>
        </w:rPr>
        <w:t xml:space="preserve">11. Numerical Traceability</w:t>
      </w:r>
    </w:p>
    <w:p>
      <w:pPr>
        <w:spacing w:after="120" w:before="120" w:line="240" w:lineRule="auto"/>
      </w:pPr>
      <w:r>
        <w:rPr>
          <w:rFonts w:ascii="Times New Roman" w:cs="Times New Roman" w:eastAsia="Times New Roman" w:hAnsi="Times New Roman"/>
          <w:i/>
          <w:iCs/>
          <w:sz w:val="20"/>
          <w:szCs w:val="20"/>
        </w:rPr>
        <w:t xml:space="preserve">Table 4. Mapping from reported results to archived output files (Zenodo DOI 10.5281/zenodo.22967033).</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800"/>
      </w:tblGrid>
      <w:tr>
        <w:trPr>
          <w:tblHeader/>
        </w:trPr>
        <w:tc>
          <w:tcPr>
            <w:tcW w:type="dxa" w:w="260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Reported result</w:t>
            </w:r>
          </w:p>
        </w:tc>
        <w:tc>
          <w:tcPr>
            <w:tcW w:type="dxa" w:w="300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Source file</w:t>
            </w:r>
          </w:p>
        </w:tc>
        <w:tc>
          <w:tcPr>
            <w:tcW w:type="dxa" w:w="1800"/>
            <w:shd w:fill="EDEDED" w:val="clear"/>
            <w:tcMar>
              <w:top w:type="dxa" w:w="40"/>
              <w:left w:type="dxa" w:w="80"/>
              <w:bottom w:type="dxa" w:w="40"/>
              <w:right w:type="dxa" w:w="80"/>
            </w:tcMar>
          </w:tcPr>
          <w:p>
            <w:pPr>
              <w:spacing w:after="60" w:line="240" w:lineRule="auto"/>
              <w:jc w:val="left"/>
            </w:pPr>
            <w:r>
              <w:rPr>
                <w:rFonts w:ascii="Times New Roman" w:cs="Times New Roman" w:eastAsia="Times New Roman" w:hAnsi="Times New Roman"/>
                <w:b/>
                <w:bCs/>
                <w:sz w:val="20"/>
                <w:szCs w:val="20"/>
              </w:rPr>
              <w:t xml:space="preserve">Used in</w:t>
            </w:r>
          </w:p>
        </w:tc>
      </w:tr>
      <w:tr>
        <w:tc>
          <w:tcPr>
            <w:tcW w:type="dxa" w:w="26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H1 correlations, MAE</w:t>
            </w:r>
          </w:p>
        </w:tc>
        <w:tc>
          <w:tcPr>
            <w:tcW w:type="dxa" w:w="30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hypothesis_tests.json (H1)</w:t>
            </w:r>
          </w:p>
        </w:tc>
        <w:tc>
          <w:tcPr>
            <w:tcW w:type="dxa" w:w="18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7.1</w:t>
            </w:r>
          </w:p>
        </w:tc>
      </w:tr>
      <w:tr>
        <w:tc>
          <w:tcPr>
            <w:tcW w:type="dxa" w:w="26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H2 mean gain, CI</w:t>
            </w:r>
          </w:p>
        </w:tc>
        <w:tc>
          <w:tcPr>
            <w:tcW w:type="dxa" w:w="30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hypothesis_tests.json (H2)</w:t>
            </w:r>
          </w:p>
        </w:tc>
        <w:tc>
          <w:tcPr>
            <w:tcW w:type="dxa" w:w="18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7.2</w:t>
            </w:r>
          </w:p>
        </w:tc>
      </w:tr>
      <w:tr>
        <w:tc>
          <w:tcPr>
            <w:tcW w:type="dxa" w:w="26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H3 gain-by-w_conf grid</w:t>
            </w:r>
          </w:p>
        </w:tc>
        <w:tc>
          <w:tcPr>
            <w:tcW w:type="dxa" w:w="30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routing_gain.csv (level=a200)</w:t>
            </w:r>
          </w:p>
        </w:tc>
        <w:tc>
          <w:tcPr>
            <w:tcW w:type="dxa" w:w="18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Table 1</w:t>
            </w:r>
          </w:p>
        </w:tc>
      </w:tr>
      <w:tr>
        <w:tc>
          <w:tcPr>
            <w:tcW w:type="dxa" w:w="26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H3 correlations, Holm p</w:t>
            </w:r>
          </w:p>
        </w:tc>
        <w:tc>
          <w:tcPr>
            <w:tcW w:type="dxa" w:w="30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hypothesis_tests.json (H3)</w:t>
            </w:r>
          </w:p>
        </w:tc>
        <w:tc>
          <w:tcPr>
            <w:tcW w:type="dxa" w:w="18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7.3</w:t>
            </w:r>
          </w:p>
        </w:tc>
      </w:tr>
      <w:tr>
        <w:tc>
          <w:tcPr>
            <w:tcW w:type="dxa" w:w="26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H4 gain-by-severity</w:t>
            </w:r>
          </w:p>
        </w:tc>
        <w:tc>
          <w:tcPr>
            <w:tcW w:type="dxa" w:w="30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h4_degradation.csv</w:t>
            </w:r>
          </w:p>
        </w:tc>
        <w:tc>
          <w:tcPr>
            <w:tcW w:type="dxa" w:w="18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Table 2, 7.4</w:t>
            </w:r>
          </w:p>
        </w:tc>
      </w:tr>
      <w:tr>
        <w:tc>
          <w:tcPr>
            <w:tcW w:type="dxa" w:w="26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H4 correlation, CI</w:t>
            </w:r>
          </w:p>
        </w:tc>
        <w:tc>
          <w:tcPr>
            <w:tcW w:type="dxa" w:w="30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hypothesis_tests.json (H4, merged)</w:t>
            </w:r>
          </w:p>
        </w:tc>
        <w:tc>
          <w:tcPr>
            <w:tcW w:type="dxa" w:w="18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7.4</w:t>
            </w:r>
          </w:p>
        </w:tc>
      </w:tr>
      <w:tr>
        <w:tc>
          <w:tcPr>
            <w:tcW w:type="dxa" w:w="26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H5 per-dataset means</w:t>
            </w:r>
          </w:p>
        </w:tc>
        <w:tc>
          <w:tcPr>
            <w:tcW w:type="dxa" w:w="30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results_h5/h5_real_data.csv</w:t>
            </w:r>
          </w:p>
        </w:tc>
        <w:tc>
          <w:tcPr>
            <w:tcW w:type="dxa" w:w="18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Table 3</w:t>
            </w:r>
          </w:p>
        </w:tc>
      </w:tr>
      <w:tr>
        <w:tc>
          <w:tcPr>
            <w:tcW w:type="dxa" w:w="26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H5 pooled correlation</w:t>
            </w:r>
          </w:p>
        </w:tc>
        <w:tc>
          <w:tcPr>
            <w:tcW w:type="dxa" w:w="30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results_h5/h5_result.json</w:t>
            </w:r>
          </w:p>
        </w:tc>
        <w:tc>
          <w:tcPr>
            <w:tcW w:type="dxa" w:w="18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7.5</w:t>
            </w:r>
          </w:p>
        </w:tc>
      </w:tr>
      <w:tr>
        <w:tc>
          <w:tcPr>
            <w:tcW w:type="dxa" w:w="26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Audit checks (9)</w:t>
            </w:r>
          </w:p>
        </w:tc>
        <w:tc>
          <w:tcPr>
            <w:tcW w:type="dxa" w:w="30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audit_checks.csv</w:t>
            </w:r>
          </w:p>
        </w:tc>
        <w:tc>
          <w:tcPr>
            <w:tcW w:type="dxa" w:w="18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4.4</w:t>
            </w:r>
          </w:p>
        </w:tc>
      </w:tr>
      <w:tr>
        <w:tc>
          <w:tcPr>
            <w:tcW w:type="dxa" w:w="26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Calibration-preserves-ranking check</w:t>
            </w:r>
          </w:p>
        </w:tc>
        <w:tc>
          <w:tcPr>
            <w:tcW w:type="dxa" w:w="30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calibration_baseline_check.csv</w:t>
            </w:r>
          </w:p>
        </w:tc>
        <w:tc>
          <w:tcPr>
            <w:tcW w:type="dxa" w:w="18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4.3</w:t>
            </w:r>
          </w:p>
        </w:tc>
      </w:tr>
      <w:tr>
        <w:tc>
          <w:tcPr>
            <w:tcW w:type="dxa" w:w="2600"/>
            <w:tcMar>
              <w:top w:type="dxa" w:w="40"/>
              <w:left w:type="dxa" w:w="80"/>
              <w:bottom w:type="dxa" w:w="40"/>
              <w:right w:type="dxa" w:w="80"/>
            </w:tcMar>
          </w:tcPr>
          <w:p>
            <w:pPr>
              <w:spacing w:after="60" w:line="240" w:lineRule="auto"/>
              <w:jc w:val="left"/>
            </w:pPr>
            <w:r>
              <w:rPr>
                <w:rFonts w:ascii="Times New Roman" w:cs="Times New Roman" w:eastAsia="Times New Roman" w:hAnsi="Times New Roman"/>
                <w:b w:val="false"/>
                <w:bCs w:val="false"/>
                <w:sz w:val="20"/>
                <w:szCs w:val="20"/>
              </w:rPr>
              <w:t xml:space="preserve">Reproducibility (bit-identical rerun)</w:t>
            </w:r>
          </w:p>
        </w:tc>
        <w:tc>
          <w:tcPr>
            <w:tcW w:type="dxa" w:w="30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hashes.csv</w:t>
            </w:r>
          </w:p>
        </w:tc>
        <w:tc>
          <w:tcPr>
            <w:tcW w:type="dxa" w:w="1800"/>
            <w:tcMar>
              <w:top w:type="dxa" w:w="40"/>
              <w:left w:type="dxa" w:w="80"/>
              <w:bottom w:type="dxa" w:w="40"/>
              <w:right w:type="dxa" w:w="80"/>
            </w:tcMar>
          </w:tcPr>
          <w:p>
            <w:pPr>
              <w:spacing w:after="60" w:line="240" w:lineRule="auto"/>
              <w:jc w:val="right"/>
            </w:pPr>
            <w:r>
              <w:rPr>
                <w:rFonts w:ascii="Times New Roman" w:cs="Times New Roman" w:eastAsia="Times New Roman" w:hAnsi="Times New Roman"/>
                <w:b w:val="false"/>
                <w:bCs w:val="false"/>
                <w:sz w:val="20"/>
                <w:szCs w:val="20"/>
              </w:rPr>
              <w:t xml:space="preserve">10</w:t>
            </w:r>
          </w:p>
        </w:tc>
      </w:tr>
    </w:tbl>
    <w:p>
      <w:pPr>
        <w:pStyle w:val="Heading1"/>
        <w:spacing w:after="120" w:before="240" w:line="480" w:lineRule="auto"/>
      </w:pPr>
      <w:r>
        <w:rPr>
          <w:rFonts w:ascii="Times New Roman" w:cs="Times New Roman" w:eastAsia="Times New Roman" w:hAnsi="Times New Roman"/>
          <w:b/>
          <w:bCs/>
          <w:color w:val="000000"/>
          <w:sz w:val="24"/>
          <w:szCs w:val="24"/>
        </w:rPr>
        <w:t xml:space="preserve">CRediT Author Statement</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Velayutham S: Conceptualization, Methodology, Software, Formal analysis, Investigation, Validation, Data curation, Writing – original draft, Writing – review and editing, Visualization.</w:t>
      </w:r>
    </w:p>
    <w:p>
      <w:pPr>
        <w:pStyle w:val="Heading1"/>
        <w:spacing w:after="120" w:before="240" w:line="480" w:lineRule="auto"/>
      </w:pPr>
      <w:r>
        <w:rPr>
          <w:rFonts w:ascii="Times New Roman" w:cs="Times New Roman" w:eastAsia="Times New Roman" w:hAnsi="Times New Roman"/>
          <w:b/>
          <w:bCs/>
          <w:color w:val="000000"/>
          <w:sz w:val="24"/>
          <w:szCs w:val="24"/>
        </w:rPr>
        <w:t xml:space="preserve">Declaration of Competing Interest</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The author declares that he has no known competing financial interests or personal relationships that could have appeared to influence the work reported in this paper.</w:t>
      </w:r>
    </w:p>
    <w:p>
      <w:pPr>
        <w:pStyle w:val="Heading1"/>
        <w:spacing w:after="120" w:before="240" w:line="480" w:lineRule="auto"/>
      </w:pPr>
      <w:r>
        <w:rPr>
          <w:rFonts w:ascii="Times New Roman" w:cs="Times New Roman" w:eastAsia="Times New Roman" w:hAnsi="Times New Roman"/>
          <w:b/>
          <w:bCs/>
          <w:color w:val="000000"/>
          <w:sz w:val="24"/>
          <w:szCs w:val="24"/>
        </w:rPr>
        <w:t xml:space="preserve">Funding</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This research did not receive any specific grant from funding agencies in the public, commercial, or not-for-profit sectors.</w:t>
      </w:r>
    </w:p>
    <w:p>
      <w:pPr>
        <w:pStyle w:val="Heading1"/>
        <w:spacing w:after="120" w:before="240" w:line="480" w:lineRule="auto"/>
      </w:pPr>
      <w:r>
        <w:rPr>
          <w:rFonts w:ascii="Times New Roman" w:cs="Times New Roman" w:eastAsia="Times New Roman" w:hAnsi="Times New Roman"/>
          <w:b/>
          <w:bCs/>
          <w:color w:val="000000"/>
          <w:sz w:val="24"/>
          <w:szCs w:val="24"/>
        </w:rPr>
        <w:t xml:space="preserve">Declaration of Generative AI and AI-Assisted Technologies in the Manuscript Preparation Process</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During the preparation of this work the author used generative AI tools (Claude, Anthropic) for experimental-code review, numerical cross-checking, drafting assistance, editing, and document preparation. After using this tool, the author reviewed and edited the content as needed and takes full responsibility for the content of the published article. Synthetic data were generated computationally; real data used in Section 6 are public OpenML datasets and are not human-participant data collected for this study.</w:t>
      </w:r>
    </w:p>
    <w:p>
      <w:pPr>
        <w:pStyle w:val="Heading1"/>
        <w:pageBreakBefore/>
        <w:spacing w:after="120" w:before="240" w:line="480" w:lineRule="auto"/>
      </w:pPr>
      <w:r>
        <w:rPr>
          <w:rFonts w:ascii="Times New Roman" w:cs="Times New Roman" w:eastAsia="Times New Roman" w:hAnsi="Times New Roman"/>
          <w:b/>
          <w:bCs/>
          <w:color w:val="000000"/>
          <w:sz w:val="24"/>
          <w:szCs w:val="24"/>
        </w:rPr>
        <w:t xml:space="preserve">References</w:t>
      </w:r>
    </w:p>
    <w:p>
      <w:pPr>
        <w:spacing w:after="0" w:line="480" w:lineRule="auto"/>
        <w:ind w:left="720" w:hanging="720"/>
      </w:pPr>
      <w:r>
        <w:rPr>
          <w:rFonts w:ascii="Times New Roman" w:cs="Times New Roman" w:eastAsia="Times New Roman" w:hAnsi="Times New Roman"/>
          <w:sz w:val="24"/>
          <w:szCs w:val="24"/>
        </w:rPr>
        <w:t xml:space="preserve">[1] A. Graves, Adaptive computation time for recurrent neural networks, arXiv preprint arXiv:1603.08983, 2016.</w:t>
      </w:r>
    </w:p>
    <w:p>
      <w:pPr>
        <w:spacing w:after="0" w:line="480" w:lineRule="auto"/>
        <w:ind w:left="720" w:hanging="720"/>
      </w:pPr>
      <w:r>
        <w:rPr>
          <w:rFonts w:ascii="Times New Roman" w:cs="Times New Roman" w:eastAsia="Times New Roman" w:hAnsi="Times New Roman"/>
          <w:sz w:val="24"/>
          <w:szCs w:val="24"/>
        </w:rPr>
        <w:t xml:space="preserve">[2] Y. Geifman, R. El-Yaniv, Selective classification for deep neural networks, in: Advances in Neural Information Processing Systems 30, 2017, pp. 4878-4887.</w:t>
      </w:r>
    </w:p>
    <w:p>
      <w:pPr>
        <w:spacing w:after="0" w:line="480" w:lineRule="auto"/>
        <w:ind w:left="720" w:hanging="720"/>
      </w:pPr>
      <w:r>
        <w:rPr>
          <w:rFonts w:ascii="Times New Roman" w:cs="Times New Roman" w:eastAsia="Times New Roman" w:hAnsi="Times New Roman"/>
          <w:sz w:val="24"/>
          <w:szCs w:val="24"/>
        </w:rPr>
        <w:t xml:space="preserve">[3] C. Guo, G. Pleiss, Y. Sun, K.Q. Weinberger, On calibration of modern neural networks, in: Proceedings of the 34th International Conference on Machine Learning, PMLR 70, 2017, pp. 1321-1330.</w:t>
      </w:r>
    </w:p>
    <w:p>
      <w:pPr>
        <w:spacing w:after="0" w:line="480" w:lineRule="auto"/>
        <w:ind w:left="720" w:hanging="720"/>
      </w:pPr>
      <w:r>
        <w:rPr>
          <w:rFonts w:ascii="Times New Roman" w:cs="Times New Roman" w:eastAsia="Times New Roman" w:hAnsi="Times New Roman"/>
          <w:sz w:val="24"/>
          <w:szCs w:val="24"/>
        </w:rPr>
        <w:t xml:space="preserve">[4] S. Kadavath, T. Conerly, A. Askell, T. Henighan, D. Drain, E. Perez, N. Schiefer, Z. Hatfield-Dodds, N. DasSarma, E. Tran-Johnson, S. Johnston, S. El-Showk, A. Jones, N. Elhage, T. Hume, A. Chen, Y. Bai, S. Bowman, S. Fort, et al., J. Kaplan, Language models (mostly) know what they know, arXiv preprint arXiv:2207.05221, 2022.</w:t>
      </w:r>
    </w:p>
    <w:p>
      <w:pPr>
        <w:spacing w:after="0" w:line="480" w:lineRule="auto"/>
        <w:ind w:left="720" w:hanging="720"/>
      </w:pPr>
      <w:r>
        <w:rPr>
          <w:rFonts w:ascii="Times New Roman" w:cs="Times New Roman" w:eastAsia="Times New Roman" w:hAnsi="Times New Roman"/>
          <w:sz w:val="24"/>
          <w:szCs w:val="24"/>
        </w:rPr>
        <w:t xml:space="preserve">[5] X. Wang, J. Wei, D. Schuurmans, Q.V. Le, E.H. Chi, S. Narang, A. Chowdhery, D. Zhou, Self-consistency improves chain of thought reasoning in language models, in: International Conference on Learning Representations, 2023, arXiv preprint arXiv:2203.11171.</w:t>
      </w:r>
    </w:p>
    <w:p>
      <w:pPr>
        <w:spacing w:after="0" w:line="480" w:lineRule="auto"/>
        <w:ind w:left="720" w:hanging="720"/>
      </w:pPr>
      <w:r>
        <w:rPr>
          <w:rFonts w:ascii="Times New Roman" w:cs="Times New Roman" w:eastAsia="Times New Roman" w:hAnsi="Times New Roman"/>
          <w:sz w:val="24"/>
          <w:szCs w:val="24"/>
        </w:rPr>
        <w:t xml:space="preserve">[6] D. Madras, T. Pitassi, R. Zemel, Predict responsibly: Improving fairness and accuracy by learning to defer, in: Advances in Neural Information Processing Systems 31, 2018.</w:t>
      </w:r>
    </w:p>
    <w:p>
      <w:pPr>
        <w:spacing w:after="0" w:line="480" w:lineRule="auto"/>
        <w:ind w:left="720" w:hanging="720"/>
      </w:pPr>
      <w:r>
        <w:rPr>
          <w:rFonts w:ascii="Times New Roman" w:cs="Times New Roman" w:eastAsia="Times New Roman" w:hAnsi="Times New Roman"/>
          <w:sz w:val="24"/>
          <w:szCs w:val="24"/>
        </w:rPr>
        <w:t xml:space="preserve">[7] H. Mozannar, D. Sontag, Consistent estimators for learning to defer to an expert, in: Proceedings of the 37th International Conference on Machine Learning, PMLR 119, 2020, pp. 7076-7087.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2026-09-25T19:53:41.720Z</dcterms:created>
  <dcterms:modified xsi:type="dcterms:W3CDTF">2026-09-25T19:53:41.720Z</dcterms:modified>
</cp:coreProperties>
</file>

<file path=docProps/custom.xml><?xml version="1.0" encoding="utf-8"?>
<Properties xmlns="http://schemas.openxmlformats.org/officeDocument/2006/custom-properties" xmlns:vt="http://schemas.openxmlformats.org/officeDocument/2006/docPropsVTypes"/>
</file>