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 Funcional — Módulo Financeiro do ERP</w:t>
      </w:r>
    </w:p>
    <w:p>
      <w:r>
        <w:rPr>
          <w:b/>
        </w:rPr>
        <w:t>Spec Funcional v1 — derivada da Fin.md v12</w:t>
      </w:r>
      <w:r>
        <w:t xml:space="preserve"> </w:t>
      </w:r>
      <w:r>
        <w:rPr>
          <w:b/>
        </w:rPr>
        <w:t>Data:</w:t>
      </w:r>
      <w:r>
        <w:t xml:space="preserve"> 2026-07-05 · </w:t>
      </w:r>
      <w:r>
        <w:rPr>
          <w:b/>
        </w:rPr>
        <w:t>Rev.:</w:t>
      </w:r>
      <w:r>
        <w:t xml:space="preserve"> 8 de setembro de 2026 (nota de implementação: Motor Fiscal já codificado e rodando como </w:t>
      </w:r>
      <w:r>
        <w:rPr>
          <w:rFonts w:ascii="Consolas" w:hAnsi="Consolas"/>
          <w:sz w:val="19"/>
        </w:rPr>
        <w:t>fiscal-service</w:t>
      </w:r>
      <w:r>
        <w:t xml:space="preserve">; o restante do módulo — Fundação Transversal, AP/AR, Fluxo de Caixa, Tesouraria, Contabilidade, Análises — segue só como spec) </w:t>
      </w:r>
      <w:r>
        <w:rPr>
          <w:b/>
        </w:rPr>
        <w:t>Idioma:</w:t>
      </w:r>
      <w:r>
        <w:t xml:space="preserve"> Português (Brasil)</w:t>
      </w:r>
    </w:p>
    <w:p>
      <w:pPr>
        <w:pStyle w:val="IntenseQuote"/>
      </w:pPr>
      <w:r>
        <w:rPr>
          <w:b/>
        </w:rPr>
        <w:t>Nota para o revisor:</w:t>
      </w:r>
      <w:r>
        <w:t xml:space="preserve"> este documento descreve exclusivamente as </w:t>
      </w:r>
      <w:r>
        <w:rPr>
          <w:b/>
        </w:rPr>
        <w:t>regras de negócio</w:t>
      </w:r>
      <w:r>
        <w:t xml:space="preserve"> do</w:t>
      </w:r>
    </w:p>
    <w:p>
      <w:pPr>
        <w:pStyle w:val="IntenseQuote"/>
      </w:pPr>
      <w:r>
        <w:t>módulo Financeiro — o que o sistema faz, por que faz e sob quais condições. Não contém</w:t>
      </w:r>
    </w:p>
    <w:p>
      <w:pPr>
        <w:pStyle w:val="IntenseQuote"/>
      </w:pPr>
      <w:r>
        <w:t>detalhes de implementação (banco de dados, integrações técnicas, código). Destina-se a um</w:t>
      </w:r>
    </w:p>
    <w:p>
      <w:pPr>
        <w:pStyle w:val="IntenseQuote"/>
      </w:pPr>
      <w:r>
        <w:t>revisor de negócio (contador/analista financeiro) validar se as regras fiscais, contábeis e</w:t>
      </w:r>
    </w:p>
    <w:p>
      <w:pPr>
        <w:pStyle w:val="IntenseQuote"/>
      </w:pPr>
      <w:r>
        <w:t>operacionais descritas correspondem à prática e à legislação. Cada regra é numerada (ex.</w:t>
      </w:r>
    </w:p>
    <w:p>
      <w:pPr>
        <w:pStyle w:val="IntenseQuote"/>
      </w:pPr>
      <w:r>
        <w:rPr>
          <w:b/>
        </w:rPr>
        <w:t>RN-AP-001</w:t>
      </w:r>
      <w:r>
        <w:t>) para facilitar comentários e referências durante a revisão.</w:t>
      </w:r>
    </w:p>
    <w:p>
      <w:pPr>
        <w:pStyle w:val="IntenseQuote"/>
      </w:pPr>
      <w:r>
        <w:rPr>
          <w:b/>
        </w:rPr>
        <w:t>Implementação:</w:t>
      </w:r>
      <w:r>
        <w:t xml:space="preserve"> do módulo Financeiro descrito abaixo, só o </w:t>
      </w:r>
      <w:r>
        <w:rPr>
          <w:b/>
        </w:rPr>
        <w:t>Motor Fiscal</w:t>
      </w:r>
      <w:r>
        <w:t xml:space="preserve"> (§3) tem código</w:t>
      </w:r>
    </w:p>
    <w:p>
      <w:pPr>
        <w:pStyle w:val="IntenseQuote"/>
      </w:pPr>
      <w:r>
        <w:t xml:space="preserve">rodando — como microsserviço separado, </w:t>
      </w:r>
      <w:r>
        <w:rPr>
          <w:rFonts w:ascii="Consolas" w:hAnsi="Consolas"/>
          <w:sz w:val="19"/>
        </w:rPr>
        <w:t>fiscal-service</w:t>
      </w:r>
      <w:r>
        <w:t xml:space="preserve"> (</w:t>
      </w:r>
      <w:r>
        <w:rPr>
          <w:rFonts w:ascii="Consolas" w:hAnsi="Consolas"/>
          <w:sz w:val="19"/>
        </w:rPr>
        <w:t>POST /fiscal/calcular</w:t>
      </w:r>
      <w:r>
        <w:t>), cobrindo</w:t>
      </w:r>
    </w:p>
    <w:p>
      <w:pPr>
        <w:pStyle w:val="IntenseQuote"/>
      </w:pPr>
      <w:r>
        <w:t xml:space="preserve">cálculo de saída (IBS/CBS/IS) e crédito de entrada, sempre </w:t>
      </w:r>
      <w:r>
        <w:rPr>
          <w:b/>
        </w:rPr>
        <w:t>cálculo puro, sem persistir nada</w:t>
      </w:r>
    </w:p>
    <w:p>
      <w:pPr>
        <w:pStyle w:val="IntenseQuote"/>
      </w:pPr>
      <w:r>
        <w:t>(sem título, sem apuração mensal gravada, sem emissão de NF-e/NFC-e/NFS-e). Fundação</w:t>
      </w:r>
    </w:p>
    <w:p>
      <w:pPr>
        <w:pStyle w:val="IntenseQuote"/>
      </w:pPr>
      <w:r>
        <w:t>Transversal (§2), Contas a Pagar/Receber (§4), Fluxo de Caixa (§5), Tesouraria (§6),</w:t>
      </w:r>
    </w:p>
    <w:p>
      <w:pPr>
        <w:pStyle w:val="IntenseQuote"/>
      </w:pPr>
      <w:r>
        <w:t xml:space="preserve">Contabilidade (§7) e Análises Gerenciais (§8) </w:t>
      </w:r>
      <w:r>
        <w:rPr>
          <w:b/>
        </w:rPr>
        <w:t>não têm nenhuma linha de código</w:t>
      </w:r>
      <w:r>
        <w:t xml:space="preserve"> — nem a</w:t>
      </w:r>
    </w:p>
    <w:p>
      <w:pPr>
        <w:pStyle w:val="IntenseQuote"/>
      </w:pPr>
      <w:r>
        <w:t xml:space="preserve">entidade título existe ainda em nenhum serviço, e o schema </w:t>
      </w:r>
      <w:r>
        <w:rPr>
          <w:rFonts w:ascii="Consolas" w:hAnsi="Consolas"/>
          <w:sz w:val="19"/>
        </w:rPr>
        <w:t>financeiro</w:t>
      </w:r>
      <w:r>
        <w:t xml:space="preserve"> no banco é só um</w:t>
      </w:r>
    </w:p>
    <w:p>
      <w:pPr>
        <w:pStyle w:val="IntenseQuote"/>
      </w:pPr>
      <w:r>
        <w:t>placeholder vazio (</w:t>
      </w:r>
      <w:r>
        <w:rPr>
          <w:rFonts w:ascii="Consolas" w:hAnsi="Consolas"/>
          <w:sz w:val="19"/>
        </w:rPr>
        <w:t>CREATE SCHEMA financeiro</w:t>
      </w:r>
      <w:r>
        <w:t>, sem tabela). O texto abaixo descreve o desenho</w:t>
      </w:r>
    </w:p>
    <w:p>
      <w:pPr>
        <w:pStyle w:val="IntenseQuote"/>
      </w:pPr>
      <w:r>
        <w:t>de negócio já fechado com o usuário (o alvo a construir), não o comportamento atual do sistema</w:t>
      </w:r>
    </w:p>
    <w:p>
      <w:pPr>
        <w:pStyle w:val="IntenseQuote"/>
      </w:pPr>
      <w:r>
        <w:t>— exceto onde uma nota específica (como em §3.7) diz o contrário.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Índice</w:t>
      </w:r>
    </w:p>
    <w:p>
      <w:pPr>
        <w:pStyle w:val="ListNumber"/>
      </w:pPr>
      <w:r>
        <w:rPr>
          <w:color w:val="0056B3"/>
          <w:u w:val="single"/>
        </w:rPr>
        <w:t>Visão Geral</w:t>
      </w:r>
    </w:p>
    <w:p>
      <w:pPr>
        <w:pStyle w:val="ListNumber"/>
      </w:pPr>
      <w:r>
        <w:rPr>
          <w:color w:val="0056B3"/>
          <w:u w:val="single"/>
        </w:rPr>
        <w:t>Fundação Transversal</w:t>
      </w:r>
    </w:p>
    <w:p>
      <w:pPr>
        <w:pStyle w:val="ListNumber"/>
      </w:pPr>
      <w:r>
        <w:rPr>
          <w:color w:val="0056B3"/>
          <w:u w:val="single"/>
        </w:rPr>
        <w:t>Módulo I — Motor Fiscal e Reforma Tributária</w:t>
      </w:r>
    </w:p>
    <w:p>
      <w:pPr>
        <w:pStyle w:val="ListNumber"/>
      </w:pPr>
      <w:r>
        <w:rPr>
          <w:color w:val="0056B3"/>
          <w:u w:val="single"/>
        </w:rPr>
        <w:t>Módulo II — Contas a Pagar e Contas a Receber</w:t>
      </w:r>
    </w:p>
    <w:p>
      <w:pPr>
        <w:pStyle w:val="ListNumber"/>
      </w:pPr>
      <w:r>
        <w:rPr>
          <w:color w:val="0056B3"/>
          <w:u w:val="single"/>
        </w:rPr>
        <w:t>Módulo III — Fluxo de Caixa e Conciliação Bancária</w:t>
      </w:r>
    </w:p>
    <w:p>
      <w:pPr>
        <w:pStyle w:val="ListNumber"/>
      </w:pPr>
      <w:r>
        <w:rPr>
          <w:color w:val="0056B3"/>
          <w:u w:val="single"/>
        </w:rPr>
        <w:t>Módulo IV — Tesouraria (Boletos, PIX, CNAB, DDA, Cheques, Aplicações)</w:t>
      </w:r>
    </w:p>
    <w:p>
      <w:pPr>
        <w:pStyle w:val="ListNumber"/>
      </w:pPr>
      <w:r>
        <w:rPr>
          <w:color w:val="0056B3"/>
          <w:u w:val="single"/>
        </w:rPr>
        <w:t>Módulo V — Contabilidade e Livro-Razão (GL)</w:t>
      </w:r>
    </w:p>
    <w:p>
      <w:pPr>
        <w:pStyle w:val="ListNumber"/>
      </w:pPr>
      <w:r>
        <w:rPr>
          <w:color w:val="0056B3"/>
          <w:u w:val="single"/>
        </w:rPr>
        <w:t>Módulo VI — Análises Gerenciais e Relatórios</w:t>
      </w:r>
    </w:p>
    <w:p>
      <w:pPr>
        <w:pStyle w:val="ListNumber"/>
      </w:pPr>
      <w:r>
        <w:rPr>
          <w:color w:val="0056B3"/>
          <w:u w:val="single"/>
        </w:rPr>
        <w:t>Perfis e Alçadas de Aprovação</w:t>
      </w:r>
    </w:p>
    <w:p>
      <w:pPr>
        <w:pStyle w:val="ListNumber"/>
      </w:pPr>
      <w:r>
        <w:rPr>
          <w:color w:val="0056B3"/>
          <w:u w:val="single"/>
        </w:rPr>
        <w:t>Telas e Menus</w:t>
      </w:r>
    </w:p>
    <w:p>
      <w:pPr>
        <w:pStyle w:val="ListNumber"/>
      </w:pPr>
      <w:r>
        <w:rPr>
          <w:color w:val="0056B3"/>
          <w:u w:val="single"/>
        </w:rPr>
        <w:t>Pontos em Aberto / Decisões Pendentes</w:t>
      </w:r>
    </w:p>
    <w:p>
      <w:pPr>
        <w:pStyle w:val="ListNumber"/>
      </w:pPr>
      <w:r>
        <w:rPr>
          <w:color w:val="0056B3"/>
          <w:u w:val="single"/>
        </w:rPr>
        <w:t>Cenários de Aceitação (exemplos numéricos)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1. Visão Geral</w:t>
      </w:r>
    </w:p>
    <w:p>
      <w:pPr>
        <w:pStyle w:val="Heading3"/>
      </w:pPr>
      <w:r>
        <w:t>1.1 O que é o módulo Financeiro</w:t>
      </w:r>
    </w:p>
    <w:p>
      <w:r>
        <w:t>O módulo Financeiro do ERP cobre toda a gestão financeira, fiscal e contábil de um tenant (empresa cliente do sistema): contas a pagar e a receber, fluxo de caixa, conciliação bancária, emissão de cobranças (boleto, PIX, CNAB, DDA, cheques), aplicações financeiras, contabilidade (livro-razão) e relatórios gerenciais. Ele também absorve o cálculo dos novos tributos da Reforma Tributária (IBS, CBS e Imposto Seletivo) desde a emissão da nota fiscal até a apuração mensal e o recolhimento das guias.</w:t>
      </w:r>
    </w:p>
    <w:p>
      <w:r>
        <w:t xml:space="preserve">Este é o módulo do </w:t>
      </w:r>
      <w:r>
        <w:rPr>
          <w:b/>
        </w:rPr>
        <w:t>produto ERP</w:t>
      </w:r>
      <w:r>
        <w:t>, usado pelos tenants (empresas clientes) para gerir a própria contabilidade e finanças. Ele é totalmente separado da parte de cobrança do próprio ERP como serviço (planos, assinatura, comissão de parceiros) — essa parte é tratada por uma camada interna à parte ("billing"), que não se comunica diretamente com o módulo Financeiro. O billing apenas controla se o tenant está com a assinatura ativa; o módulo Financeiro é habilitado ou não conforme o plano contratado, mas desconhece os detalhes de cobrança do próprio SaaS.</w:t>
      </w:r>
    </w:p>
    <w:p>
      <w:pPr>
        <w:pStyle w:val="Heading3"/>
      </w:pPr>
      <w:r>
        <w:t>1.2 Escopo por sub-área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Sub-área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Situação nesta revisão</w:t>
            </w:r>
          </w:p>
        </w:tc>
      </w:tr>
      <w:tr>
        <w:tc>
          <w:tcPr>
            <w:tcW w:type="dxa" w:w="4680"/>
          </w:tcPr>
          <w:p>
            <w:r>
              <w:t>Feriados bancários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Trilha de auditoria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Centro de custo e rateio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Integração NF-e → Financeiro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Motor Fiscal (IBS/CBS/IS)</w:t>
            </w:r>
          </w:p>
        </w:tc>
        <w:tc>
          <w:tcPr>
            <w:tcW w:type="dxa" w:w="4680"/>
          </w:tcPr>
          <w:p>
            <w:r>
              <w:t>Especificado — cálculo completo, alíquotas municipais aguardando publicação oficial</w:t>
            </w:r>
          </w:p>
        </w:tc>
      </w:tr>
      <w:tr>
        <w:tc>
          <w:tcPr>
            <w:tcW w:type="dxa" w:w="4680"/>
          </w:tcPr>
          <w:p>
            <w:r>
              <w:t>Contabilidade / Livro-Razão</w:t>
            </w:r>
          </w:p>
        </w:tc>
        <w:tc>
          <w:tcPr>
            <w:tcW w:type="dxa" w:w="4680"/>
          </w:tcPr>
          <w:p>
            <w:r>
              <w:t>Especificado nos pontos essenciais</w:t>
            </w:r>
          </w:p>
        </w:tc>
      </w:tr>
      <w:tr>
        <w:tc>
          <w:tcPr>
            <w:tcW w:type="dxa" w:w="4680"/>
          </w:tcPr>
          <w:p>
            <w:r>
              <w:t>Contas a Pagar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Contas a Receber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Adiantamentos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Compensação entre contas (netting)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Empréstimo / Leasing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Fluxo de Caixa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Conciliação Bancária (extrato OFX)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Controle de conta corrente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Orçamento financeiro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Boletos (emissão e CNAB)</w:t>
            </w:r>
          </w:p>
        </w:tc>
        <w:tc>
          <w:tcPr>
            <w:tcW w:type="dxa" w:w="4680"/>
          </w:tcPr>
          <w:p>
            <w:r>
              <w:t>Especificado — inclusive o detalhamento campo a campo do arquivo bancário (padrão FEBRABAN 240, banco piloto e plano de homologação), descrito na spec técnica</w:t>
            </w:r>
          </w:p>
        </w:tc>
      </w:tr>
      <w:tr>
        <w:tc>
          <w:tcPr>
            <w:tcW w:type="dxa" w:w="4680"/>
          </w:tcPr>
          <w:p>
            <w:r>
              <w:t>DDA (débito direto autorizado)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Cheques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Aplicações financeiras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Análises gerenciais e relatórios</w:t>
            </w:r>
          </w:p>
        </w:tc>
        <w:tc>
          <w:tcPr>
            <w:tcW w:type="dxa" w:w="4680"/>
          </w:tcPr>
          <w:p>
            <w:r>
              <w:t>Especificado</w:t>
            </w:r>
          </w:p>
        </w:tc>
      </w:tr>
      <w:tr>
        <w:tc>
          <w:tcPr>
            <w:tcW w:type="dxa" w:w="4680"/>
          </w:tcPr>
          <w:p>
            <w:r>
              <w:t>Plano de contas</w:t>
            </w:r>
          </w:p>
        </w:tc>
        <w:tc>
          <w:tcPr>
            <w:tcW w:type="dxa" w:w="4680"/>
          </w:tcPr>
          <w:p>
            <w:r>
              <w:t>Elenco contábil oficial usado como modelo de partida, editável pelo tenant, sem bloqueio</w:t>
            </w:r>
          </w:p>
        </w:tc>
      </w:tr>
      <w:tr>
        <w:tc>
          <w:tcPr>
            <w:tcW w:type="dxa" w:w="4680"/>
          </w:tcPr>
          <w:p>
            <w:r>
              <w:t>Obrigações acessórias (SPED, DCTFWeb, declaração IBS/CBS)</w:t>
            </w:r>
          </w:p>
        </w:tc>
        <w:tc>
          <w:tcPr>
            <w:tcW w:type="dxa" w:w="4680"/>
          </w:tcPr>
          <w:p>
            <w:r>
              <w:t>Especificado por regime tributário — MVP entrega relatórios de apoio (receita bruta e retenções) para tenant do Simples Nacional; ECD/ECF/EFD ICMS-IPI ficam para a Fase 2 (Lucro Presumido/Real) — ver §3.10</w:t>
            </w:r>
          </w:p>
        </w:tc>
      </w:tr>
      <w:tr>
        <w:tc>
          <w:tcPr>
            <w:tcW w:type="dxa" w:w="4680"/>
          </w:tcPr>
          <w:p>
            <w:r>
              <w:t>Módulo fiscal legado (ICMS/ISS, ainda vigente até 2033)</w:t>
            </w:r>
          </w:p>
        </w:tc>
        <w:tc>
          <w:tcPr>
            <w:tcW w:type="dxa" w:w="4680"/>
          </w:tcPr>
          <w:p>
            <w:r>
              <w:t>Spec separada</w:t>
            </w:r>
          </w:p>
        </w:tc>
      </w:tr>
    </w:tbl>
    <w:p/>
    <w:p>
      <w:pPr>
        <w:pStyle w:val="Heading3"/>
      </w:pPr>
      <w:r>
        <w:t>1.3 Ordem de dependência entre os módulos</w:t>
      </w:r>
    </w:p>
    <w:p>
      <w:r>
        <w:t>Os módulos foram desenhados em cadeia — cada um consome o resultado do anterior:</w:t>
      </w:r>
    </w:p>
    <w:p>
      <w:pPr>
        <w:pStyle w:val="ListNumber"/>
      </w:pPr>
      <w:r>
        <w:rPr>
          <w:b/>
        </w:rPr>
        <w:t>Motor Fiscal</w:t>
      </w:r>
      <w:r>
        <w:t xml:space="preserve"> calcula os tributos de cada operação antes de qualquer título existir.</w:t>
      </w:r>
    </w:p>
    <w:p>
      <w:pPr>
        <w:pStyle w:val="ListNumber"/>
      </w:pPr>
      <w:r>
        <w:rPr>
          <w:b/>
        </w:rPr>
        <w:t>Contas a Pagar / Receber</w:t>
      </w:r>
      <w:r>
        <w:t xml:space="preserve"> usa o resultado do cálculo fiscal para criar os títulos.</w:t>
      </w:r>
    </w:p>
    <w:p>
      <w:pPr>
        <w:pStyle w:val="ListNumber"/>
      </w:pPr>
      <w:r>
        <w:rPr>
          <w:b/>
        </w:rPr>
        <w:t>Fluxo de Caixa e Conciliação Bancária</w:t>
      </w:r>
      <w:r>
        <w:t xml:space="preserve"> trabalha em cima dos títulos e das contas</w:t>
      </w:r>
    </w:p>
    <w:p>
      <w:r>
        <w:t>correntes.</w:t>
      </w:r>
    </w:p>
    <w:p>
      <w:pPr>
        <w:pStyle w:val="ListNumber"/>
      </w:pPr>
      <w:r>
        <w:rPr>
          <w:b/>
        </w:rPr>
        <w:t>Tesouraria</w:t>
      </w:r>
      <w:r>
        <w:t xml:space="preserve"> (boletos, CNAB, PIX, DDA, cheques) depende de conta corrente e das contas a</w:t>
      </w:r>
    </w:p>
    <w:p>
      <w:r>
        <w:t>receber.</w:t>
      </w:r>
    </w:p>
    <w:p>
      <w:pPr>
        <w:pStyle w:val="ListNumber"/>
      </w:pPr>
      <w:r>
        <w:rPr>
          <w:b/>
        </w:rPr>
        <w:t>Contabilidade</w:t>
      </w:r>
      <w:r>
        <w:t xml:space="preserve"> consome os eventos financeiros de todos os módulos anteriores e gera os</w:t>
      </w:r>
    </w:p>
    <w:p>
      <w:r>
        <w:t>lançamentos contábeis.</w:t>
      </w:r>
    </w:p>
    <w:p>
      <w:pPr>
        <w:pStyle w:val="ListNumber"/>
      </w:pPr>
      <w:r>
        <w:rPr>
          <w:b/>
        </w:rPr>
        <w:t>Análises Gerenciais</w:t>
      </w:r>
      <w:r>
        <w:t xml:space="preserve"> apenas lê dados de todos os módulos — não grava nada.</w:t>
      </w:r>
    </w:p>
    <w:p>
      <w:pPr>
        <w:pStyle w:val="Heading3"/>
      </w:pPr>
      <w:r>
        <w:t>1.4 Premissas gerais que valem para todo o módulo</w:t>
      </w:r>
    </w:p>
    <w:p>
      <w:pPr>
        <w:pStyle w:val="ListBullet"/>
      </w:pPr>
      <w:r>
        <w:t>Cada empresa (tenant) enxerga só os próprios dados — isolamento total entre empresas.</w:t>
      </w:r>
    </w:p>
    <w:p>
      <w:pPr>
        <w:pStyle w:val="ListBullet"/>
      </w:pPr>
      <w:r>
        <w:t>Toda ação de criação/alteração registra o usuário responsável.</w:t>
      </w:r>
    </w:p>
    <w:p>
      <w:pPr>
        <w:pStyle w:val="ListBullet"/>
      </w:pPr>
      <w:r>
        <w:t>Moeda: Real (BRL). Valores sempre com duas casas decimais.</w:t>
      </w:r>
    </w:p>
    <w:p>
      <w:pPr>
        <w:pStyle w:val="ListBullet"/>
      </w:pPr>
      <w:r>
        <w:t>**Saldos nunca são um número fixo guardado — são sempre recalculados a partir dos</w:t>
      </w:r>
    </w:p>
    <w:p>
      <w:r>
        <w:t>lançamentos confirmados.** Isso evita que um saldo "trave" desatualizado se algum lançamento for corrigido depois.</w:t>
      </w:r>
    </w:p>
    <w:p>
      <w:pPr>
        <w:pStyle w:val="ListBullet"/>
      </w:pPr>
      <w:r>
        <w:t>Reimportar um arquivo (extrato bancário, retorno de banco) nunca duplica lançamentos —</w:t>
      </w:r>
    </w:p>
    <w:p>
      <w:r>
        <w:t>o sistema identifica o que já foi processado.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2. Fundação Transversal</w:t>
      </w:r>
    </w:p>
    <w:p>
      <w:pPr>
        <w:pStyle w:val="IntenseQuote"/>
      </w:pPr>
      <w:r>
        <w:t>Conjunto de regras e cadastros que servem de base para todos os módulos — pré-requisito</w:t>
      </w:r>
    </w:p>
    <w:p>
      <w:pPr>
        <w:pStyle w:val="IntenseQuote"/>
      </w:pPr>
      <w:r>
        <w:t>antes de qualquer operação financeira.</w:t>
      </w:r>
    </w:p>
    <w:p>
      <w:pPr>
        <w:pStyle w:val="Heading3"/>
      </w:pPr>
      <w:r>
        <w:t>2.1 Objetivo</w:t>
      </w:r>
    </w:p>
    <w:p>
      <w:r>
        <w:t>Prover recursos comuns que todo o módulo usa: cálculo de dias úteis, rastreabilidade de alterações, dimensão de centro de custo, o contrato de como uma nota fiscal vira título financeiro, o plano de contas de partida e o fluxo de aprovação por alçada.</w:t>
      </w:r>
    </w:p>
    <w:p>
      <w:pPr>
        <w:pStyle w:val="Heading3"/>
      </w:pPr>
      <w:r>
        <w:t>2.2 Conceitos</w:t>
      </w:r>
    </w:p>
    <w:p>
      <w:r>
        <w:rPr>
          <w:b/>
        </w:rPr>
        <w:t>Feriados bancários.</w:t>
      </w:r>
      <w:r>
        <w:t xml:space="preserve"> Cadastro de feriados nacionais, estaduais e municipais, usado para calcular vencimentos que "empurram" para o próximo dia útil e para dar tolerância na conciliação bancária automática. Feriados nacionais fixos vêm prontos no sistema; feriados móveis (Carnaval, Corpus Christi, Sexta-feira Santa) são calculados automaticamente a cada ano. O administrador do tenant pode cadastrar feriados municipais específicos.</w:t>
      </w:r>
    </w:p>
    <w:p>
      <w:r>
        <w:rPr>
          <w:b/>
        </w:rPr>
        <w:t>Trilha de auditoria.</w:t>
      </w:r>
      <w:r>
        <w:t xml:space="preserve"> Toda alteração em dado financeiro sensível (título, baixa, ajuste, compensação, apuração mensal, fechamento de período, boleto) fica registrada: o que mudou, o valor antes e depois, quem fez, de onde (IP) e quando. Essa trilha é exigida pela legislação fiscal — a Receita Federal pode solicitar o histórico completo de alterações.</w:t>
      </w:r>
    </w:p>
    <w:p>
      <w:r>
        <w:rPr>
          <w:b/>
        </w:rPr>
        <w:t>Centro de custo.</w:t>
      </w:r>
      <w:r>
        <w:t xml:space="preserve"> Dimensão analítica (departamento, projeto, filial) que pode ser associada a um título, a uma baixa ou a um lançamento contábil, para permitir relatórios por área da empresa. Centros de custo podem ter hierarquia (centro pai/filho); apenas os centros "analíticos" (folha da hierarquia) recebem lançamento direto. Um rateio permite distribuir um mesmo valor entre vários centros de custo por percentual (ex.: uma nota de software rateada 50% TI / 30% Vendas / 20% Administrativo); os percentuais somam sempre 100% e, na contabilização, eventual diferença de centavos do arredondamento fica no centro de maior percentual (ver RN-FUND-016 a RN-FUND-018).</w:t>
      </w:r>
    </w:p>
    <w:p>
      <w:r>
        <w:rPr>
          <w:b/>
        </w:rPr>
        <w:t>Contrato NF-e → Financeiro.</w:t>
      </w:r>
      <w:r>
        <w:t xml:space="preserve"> Define como uma nota fiscal aprovada (de entrada ou saída) gera automaticamente um título financeiro, e como o cancelamento de uma nota reflete no título correspondente.</w:t>
      </w:r>
    </w:p>
    <w:p>
      <w:r>
        <w:rPr>
          <w:b/>
        </w:rPr>
        <w:t>Plano de contas.</w:t>
      </w:r>
      <w:r>
        <w:t xml:space="preserve"> Estrutura contábil (Ativo, Passivo, Patrimônio Líquido, Receitas, Custos, Despesas) que classifica todo lançamento contábil.</w:t>
      </w:r>
    </w:p>
    <w:p>
      <w:r>
        <w:rPr>
          <w:b/>
        </w:rPr>
        <w:t>Alçada de aprovação.</w:t>
      </w:r>
      <w:r>
        <w:t xml:space="preserve"> Fluxo de aprovação configurável por faixa de valor, usado principalmente para liberar pagamentos.</w:t>
      </w:r>
    </w:p>
    <w:p>
      <w:pPr>
        <w:pStyle w:val="Heading3"/>
      </w:pPr>
      <w:r>
        <w:t>2.3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RN-FUND-001</w:t>
            </w:r>
          </w:p>
        </w:tc>
        <w:tc>
          <w:tcPr>
            <w:tcW w:type="dxa" w:w="4680"/>
          </w:tcPr>
          <w:p>
            <w:r>
              <w:t>Um vencimento pode ser calculado considerando apenas dias úteis — nesse caso, sábados, domingos e feriados (nacional, estadual ou municipal, conforme a praça) empurram a data para o próximo dia útil.</w:t>
            </w:r>
          </w:p>
        </w:tc>
      </w:tr>
      <w:tr>
        <w:tc>
          <w:tcPr>
            <w:tcW w:type="dxa" w:w="4680"/>
          </w:tcPr>
          <w:p>
            <w:r>
              <w:t>RN-FUND-002</w:t>
            </w:r>
          </w:p>
        </w:tc>
        <w:tc>
          <w:tcPr>
            <w:tcW w:type="dxa" w:w="4680"/>
          </w:tcPr>
          <w:p>
            <w:r>
              <w:t>Toda alteração em título, baixa, ajuste, compensação, apuração mensal, fechamento de período contábil ou boleto gera um registro de auditoria imutável — quem alterou, quando, de onde, e os valores antes/depois.</w:t>
            </w:r>
          </w:p>
        </w:tc>
      </w:tr>
      <w:tr>
        <w:tc>
          <w:tcPr>
            <w:tcW w:type="dxa" w:w="4680"/>
          </w:tcPr>
          <w:p>
            <w:r>
              <w:t>RN-FUND-003</w:t>
            </w:r>
          </w:p>
        </w:tc>
        <w:tc>
          <w:tcPr>
            <w:tcW w:type="dxa" w:w="4680"/>
          </w:tcPr>
          <w:p>
            <w:r>
              <w:t>O histórico de auditoria deve ser mantido por, no mínimo, 5 anos, conforme exigência fiscal.</w:t>
            </w:r>
          </w:p>
        </w:tc>
      </w:tr>
      <w:tr>
        <w:tc>
          <w:tcPr>
            <w:tcW w:type="dxa" w:w="4680"/>
          </w:tcPr>
          <w:p>
            <w:r>
              <w:t>RN-FUND-004</w:t>
            </w:r>
          </w:p>
        </w:tc>
        <w:tc>
          <w:tcPr>
            <w:tcW w:type="dxa" w:w="4680"/>
          </w:tcPr>
          <w:p>
            <w:r>
              <w:t>Apenas centros de custo marcados como "analíticos" podem receber lançamento direto; centros que são apenas agrupadores (nível hierárquico superior) não recebem lançamento.</w:t>
            </w:r>
          </w:p>
        </w:tc>
      </w:tr>
      <w:tr>
        <w:tc>
          <w:tcPr>
            <w:tcW w:type="dxa" w:w="4680"/>
          </w:tcPr>
          <w:p>
            <w:r>
              <w:t>RN-FUND-005</w:t>
            </w:r>
          </w:p>
        </w:tc>
        <w:tc>
          <w:tcPr>
            <w:tcW w:type="dxa" w:w="4680"/>
          </w:tcPr>
          <w:p>
            <w:r>
              <w:t>A soma dos percentuais de um rateio por centro de custo deve fechar em exatamente 100%.</w:t>
            </w:r>
          </w:p>
        </w:tc>
      </w:tr>
      <w:tr>
        <w:tc>
          <w:tcPr>
            <w:tcW w:type="dxa" w:w="4680"/>
          </w:tcPr>
          <w:p>
            <w:r>
              <w:t>RN-FUND-006</w:t>
            </w:r>
          </w:p>
        </w:tc>
        <w:tc>
          <w:tcPr>
            <w:tcW w:type="dxa" w:w="4680"/>
          </w:tcPr>
          <w:p>
            <w:r>
              <w:t>Toda nota fiscal de entrada aprovada gera automaticamente um ou mais títulos a pagar; toda nota de saída autorizada gera automaticamente um ou mais títulos a receber — o número de títulos corresponde ao número de parcelas da condição de pagamento.</w:t>
            </w:r>
          </w:p>
        </w:tc>
      </w:tr>
      <w:tr>
        <w:tc>
          <w:tcPr>
            <w:tcW w:type="dxa" w:w="4680"/>
          </w:tcPr>
          <w:p>
            <w:r>
              <w:t>RN-FUND-007</w:t>
            </w:r>
          </w:p>
        </w:tc>
        <w:tc>
          <w:tcPr>
            <w:tcW w:type="dxa" w:w="4680"/>
          </w:tcPr>
          <w:p>
            <w:r>
              <w:t xml:space="preserve">O cancelamento de uma nota fiscal cancela o(s) título(s) vinculado(s), </w:t>
            </w:r>
            <w:r>
              <w:rPr>
                <w:b/>
              </w:rPr>
              <w:t>desde que nenhuma baixa efetiva (confirmada) já tenha ocorrido</w:t>
            </w:r>
            <w:r>
              <w:t>. Se já houve baixa efetiva, o cancelamento é bloqueado e um alerta é enviado ao operador financeiro para tratamento manual.</w:t>
            </w:r>
          </w:p>
        </w:tc>
      </w:tr>
      <w:tr>
        <w:tc>
          <w:tcPr>
            <w:tcW w:type="dxa" w:w="4680"/>
          </w:tcPr>
          <w:p>
            <w:r>
              <w:t>RN-FUND-008</w:t>
            </w:r>
          </w:p>
        </w:tc>
        <w:tc>
          <w:tcPr>
            <w:tcW w:type="dxa" w:w="4680"/>
          </w:tcPr>
          <w:p>
            <w:r>
              <w:t>O plano de contas de cada tenant nasce como uma cópia de um modelo oficial (elenco de contas contábil) no momento em que a empresa é ativada no sistema. A partir daí, o tenant pode editar livremente a própria cópia — não há bloqueio de revisão por contador como pré-requisito.</w:t>
            </w:r>
          </w:p>
        </w:tc>
      </w:tr>
      <w:tr>
        <w:tc>
          <w:tcPr>
            <w:tcW w:type="dxa" w:w="4680"/>
          </w:tcPr>
          <w:p>
            <w:r>
              <w:t>RN-FUND-009</w:t>
            </w:r>
          </w:p>
        </w:tc>
        <w:tc>
          <w:tcPr>
            <w:tcW w:type="dxa" w:w="4680"/>
          </w:tcPr>
          <w:p>
            <w:r>
              <w:t xml:space="preserve">Uma conta contábil </w:t>
            </w:r>
            <w:r>
              <w:rPr>
                <w:b/>
              </w:rPr>
              <w:t>sem nenhum lançamento</w:t>
            </w:r>
            <w:r>
              <w:t xml:space="preserve"> pode ser alterada livremente (código, tipo, natureza, hierarquia, descrição).</w:t>
            </w:r>
          </w:p>
        </w:tc>
      </w:tr>
      <w:tr>
        <w:tc>
          <w:tcPr>
            <w:tcW w:type="dxa" w:w="4680"/>
          </w:tcPr>
          <w:p>
            <w:r>
              <w:t>RN-FUND-010</w:t>
            </w:r>
          </w:p>
        </w:tc>
        <w:tc>
          <w:tcPr>
            <w:tcW w:type="dxa" w:w="4680"/>
          </w:tcPr>
          <w:p>
            <w:r>
              <w:t xml:space="preserve">Uma conta contábil </w:t>
            </w:r>
            <w:r>
              <w:rPr>
                <w:b/>
              </w:rPr>
              <w:t>que já tem lançamento</w:t>
            </w:r>
            <w:r>
              <w:t xml:space="preserve"> só permite alterar descrição e status ativo/inativo — código, tipo, natureza e posição na hierarquia ficam travados para não quebrar o histórico.</w:t>
            </w:r>
          </w:p>
        </w:tc>
      </w:tr>
      <w:tr>
        <w:tc>
          <w:tcPr>
            <w:tcW w:type="dxa" w:w="4680"/>
          </w:tcPr>
          <w:p>
            <w:r>
              <w:t>RN-FUND-011</w:t>
            </w:r>
          </w:p>
        </w:tc>
        <w:tc>
          <w:tcPr>
            <w:tcW w:type="dxa" w:w="4680"/>
          </w:tcPr>
          <w:p>
            <w:r>
              <w:t>Uma conta contábil que tem contas-filhas na hierarquia não pode ser excluída.</w:t>
            </w:r>
          </w:p>
        </w:tc>
      </w:tr>
      <w:tr>
        <w:tc>
          <w:tcPr>
            <w:tcW w:type="dxa" w:w="4680"/>
          </w:tcPr>
          <w:p>
            <w:r>
              <w:t>RN-FUND-012</w:t>
            </w:r>
          </w:p>
        </w:tc>
        <w:tc>
          <w:tcPr>
            <w:tcW w:type="dxa" w:w="4680"/>
          </w:tcPr>
          <w:p>
            <w:r>
              <w:t>Uma futura revisão do modelo oficial de plano de contas gera uma nova versão do modelo; tenants já ativos continuam na versão que receberam na ativação — só tenants novos recebem a versão mais recente.</w:t>
            </w:r>
          </w:p>
        </w:tc>
      </w:tr>
      <w:tr>
        <w:tc>
          <w:tcPr>
            <w:tcW w:type="dxa" w:w="4680"/>
          </w:tcPr>
          <w:p>
            <w:r>
              <w:t>RN-FUND-013</w:t>
            </w:r>
          </w:p>
        </w:tc>
        <w:tc>
          <w:tcPr>
            <w:tcW w:type="dxa" w:w="4680"/>
          </w:tcPr>
          <w:p>
            <w:r>
              <w:t>Operações financeiras que se enquadrem em uma faixa de valor configurada para exigir aprovação (ex.: pagamentos acima de determinado valor) ficam retidas até a decisão do aprovador — o título correspondente fica bloqueado para pagamento/remessa enquanto aguarda decisão.</w:t>
            </w:r>
          </w:p>
        </w:tc>
      </w:tr>
      <w:tr>
        <w:tc>
          <w:tcPr>
            <w:tcW w:type="dxa" w:w="4680"/>
          </w:tcPr>
          <w:p>
            <w:r>
              <w:t>RN-FUND-014</w:t>
            </w:r>
          </w:p>
        </w:tc>
        <w:tc>
          <w:tcPr>
            <w:tcW w:type="dxa" w:w="4680"/>
          </w:tcPr>
          <w:p>
            <w:r>
              <w:t>Toda decisão de aprovação (aprovar ou rejeitar) é registrada de forma imutável na trilha de auditoria — quem decidiu, quando e de onde. Rejeição exige justificativa.</w:t>
            </w:r>
          </w:p>
        </w:tc>
      </w:tr>
      <w:tr>
        <w:tc>
          <w:tcPr>
            <w:tcW w:type="dxa" w:w="4680"/>
          </w:tcPr>
          <w:p>
            <w:r>
              <w:t>RN-FUND-015</w:t>
            </w:r>
          </w:p>
        </w:tc>
        <w:tc>
          <w:tcPr>
            <w:tcW w:type="dxa" w:w="4680"/>
          </w:tcPr>
          <w:p>
            <w:r>
              <w:t>Se o aprovador não decidir dentro do prazo configurado, a solicitação pode ser automaticamente escalada para um aprovador de nível superior ou aprovada automaticamente, conforme a política configurada para aquela faixa de valor.</w:t>
            </w:r>
          </w:p>
        </w:tc>
      </w:tr>
      <w:tr>
        <w:tc>
          <w:tcPr>
            <w:tcW w:type="dxa" w:w="4680"/>
          </w:tcPr>
          <w:p>
            <w:r>
              <w:t>RN-FUND-016</w:t>
            </w:r>
          </w:p>
        </w:tc>
        <w:tc>
          <w:tcPr>
            <w:tcW w:type="dxa" w:w="4680"/>
          </w:tcPr>
          <w:p>
            <w:r>
              <w:t>Um rateio por centro de custo só admite centros de custo analíticos e ativos — centros agrupadores ou inativos não podem participar.</w:t>
            </w:r>
          </w:p>
        </w:tc>
      </w:tr>
      <w:tr>
        <w:tc>
          <w:tcPr>
            <w:tcW w:type="dxa" w:w="4680"/>
          </w:tcPr>
          <w:p>
            <w:r>
              <w:t>RN-FUND-017</w:t>
            </w:r>
          </w:p>
        </w:tc>
        <w:tc>
          <w:tcPr>
            <w:tcW w:type="dxa" w:w="4680"/>
          </w:tcPr>
          <w:p>
            <w:r>
              <w:t xml:space="preserve">Ao contabilizar um título rateado, o valor é dividido entre os centros de custo conforme os percentuais definidos; a eventual diferença de centavos gerada pelo arredondamento é absorvida pelo centro de custo de </w:t>
            </w:r>
            <w:r>
              <w:rPr>
                <w:b/>
              </w:rPr>
              <w:t>maior percentual</w:t>
            </w:r>
            <w:r>
              <w:t>, garantindo que a soma dos valores lançados feche exatamente igual ao valor do título.</w:t>
            </w:r>
          </w:p>
        </w:tc>
      </w:tr>
      <w:tr>
        <w:tc>
          <w:tcPr>
            <w:tcW w:type="dxa" w:w="4680"/>
          </w:tcPr>
          <w:p>
            <w:r>
              <w:t>RN-FUND-018</w:t>
            </w:r>
          </w:p>
        </w:tc>
        <w:tc>
          <w:tcPr>
            <w:tcW w:type="dxa" w:w="4680"/>
          </w:tcPr>
          <w:p>
            <w:r>
              <w:t xml:space="preserve">Um relatório gerencial sobre um título </w:t>
            </w:r>
            <w:r>
              <w:rPr>
                <w:b/>
              </w:rPr>
              <w:t>já contabilizado</w:t>
            </w:r>
            <w:r>
              <w:t xml:space="preserve"> sempre lê os valores por centro de custo tal como foram divididos no momento da contabilização — alterar o rateio depois não reescreve o passado. Um título </w:t>
            </w:r>
            <w:r>
              <w:rPr>
                <w:b/>
              </w:rPr>
              <w:t>ainda não contabilizado</w:t>
            </w:r>
            <w:r>
              <w:t xml:space="preserve"> usa os percentuais vigentes do rateio como visão prospectiva, sujeita a mudar até a contabilização efetiva.</w:t>
            </w:r>
          </w:p>
        </w:tc>
      </w:tr>
    </w:tbl>
    <w:p/>
    <w:p>
      <w:pPr>
        <w:pStyle w:val="Heading3"/>
      </w:pPr>
      <w:r>
        <w:t>2.4 Fluxo — Aprovação por Alçada</w:t>
      </w:r>
    </w:p>
    <w:p>
      <w:pPr>
        <w:pStyle w:val="ListNumber"/>
      </w:pPr>
      <w:r>
        <w:t>Uma operação (por exemplo, pagamento de um título) cujo valor se enquadra em uma faixa</w:t>
      </w:r>
    </w:p>
    <w:p>
      <w:r>
        <w:t>configurada para exigir aprovação gera uma solicitação de aprovação. O título fica bloqueado, com o motivo "aguardando aprovação".</w:t>
      </w:r>
    </w:p>
    <w:p>
      <w:pPr>
        <w:pStyle w:val="ListNumber"/>
      </w:pPr>
      <w:r>
        <w:t>O responsável pela aprovação (conforme papel configurado para aquela faixa de valor — por</w:t>
      </w:r>
    </w:p>
    <w:p>
      <w:r>
        <w:t>exemplo, gerente financeiro até certo valor, diretor acima disso) é notificado e vê a solicitação na tela de Aprovações Pendentes, com filtros por valor, tipo e data.</w:t>
      </w:r>
    </w:p>
    <w:p>
      <w:pPr>
        <w:pStyle w:val="ListNumber"/>
      </w:pPr>
      <w:r>
        <w:t>O aprovador analisa (valor, centro de custo, tipo de despesa) e decide:</w:t>
      </w:r>
    </w:p>
    <w:p>
      <w:pPr>
        <w:pStyle w:val="ListBullet2"/>
      </w:pPr>
      <w:r>
        <w:rPr>
          <w:b/>
        </w:rPr>
        <w:t>Aprova</w:t>
      </w:r>
      <w:r>
        <w:t xml:space="preserve"> → o título é desbloqueado e o fluxo original continua.</w:t>
      </w:r>
    </w:p>
    <w:p>
      <w:pPr>
        <w:pStyle w:val="ListBullet2"/>
      </w:pPr>
      <w:r>
        <w:rPr>
          <w:b/>
        </w:rPr>
        <w:t>Rejeita</w:t>
      </w:r>
      <w:r>
        <w:t xml:space="preserve"> → o título permanece bloqueado, com justificativa obrigatória visível para</w:t>
      </w:r>
    </w:p>
    <w:p>
      <w:r>
        <w:t>quem solicitou.</w:t>
      </w:r>
    </w:p>
    <w:p>
      <w:pPr>
        <w:pStyle w:val="ListBullet2"/>
      </w:pPr>
      <w:r>
        <w:rPr>
          <w:b/>
        </w:rPr>
        <w:t>Não decide dentro do prazo</w:t>
      </w:r>
      <w:r>
        <w:t xml:space="preserve"> → conforme a configuração daquela faixa, o pedido é</w:t>
      </w:r>
    </w:p>
    <w:p>
      <w:r>
        <w:t>escalado automaticamente para o aprovador do nível seguinte, ou é aprovado automaticamente.</w:t>
      </w:r>
    </w:p>
    <w:p>
      <w:pPr>
        <w:pStyle w:val="ListNumber"/>
      </w:pPr>
      <w:r>
        <w:t>Toda decisão fica registrada de forma permanente na trilha de auditoria.</w:t>
      </w:r>
    </w:p>
    <w:p>
      <w:pPr>
        <w:pStyle w:val="Heading3"/>
      </w:pPr>
      <w:r>
        <w:t>2.5 Validações</w:t>
      </w:r>
    </w:p>
    <w:p>
      <w:pPr>
        <w:pStyle w:val="ListBullet"/>
      </w:pPr>
      <w:r>
        <w:t>Alíquota/percentual de rateio por centro de custo: soma deve ser exatamente 100%.</w:t>
      </w:r>
    </w:p>
    <w:p>
      <w:pPr>
        <w:pStyle w:val="ListBullet"/>
      </w:pPr>
      <w:r>
        <w:t>Conta contábil com lançamento: apenas descrição e status podem mudar.</w:t>
      </w:r>
    </w:p>
    <w:p>
      <w:pPr>
        <w:pStyle w:val="ListBullet"/>
      </w:pPr>
      <w:r>
        <w:t>Conta contábil com contas-filhas: não pode ser excluída.</w:t>
      </w:r>
    </w:p>
    <w:p>
      <w:pPr>
        <w:pStyle w:val="ListBullet"/>
      </w:pPr>
      <w:r>
        <w:t>Nota fiscal cancelada com baixa efetiva já registrada: cancelamento do título é bloqueado,</w:t>
      </w:r>
    </w:p>
    <w:p>
      <w:r>
        <w:t>não silenciosamente ignorado.</w:t>
      </w:r>
    </w:p>
    <w:p>
      <w:pPr>
        <w:pStyle w:val="Heading3"/>
      </w:pPr>
      <w:r>
        <w:t>2.6 Telas</w:t>
      </w:r>
    </w:p>
    <w:p>
      <w:pPr>
        <w:pStyle w:val="ListBullet"/>
      </w:pPr>
      <w:r>
        <w:rPr>
          <w:b/>
        </w:rPr>
        <w:t>Feriados</w:t>
      </w:r>
      <w:r>
        <w:t xml:space="preserve"> — cadastro/consulta de feriados nacionais (somente leitura para o tenant),</w:t>
      </w:r>
    </w:p>
    <w:p>
      <w:r>
        <w:t>estaduais e municipais (o tenant pode adicionar feriados municipais específicos).</w:t>
      </w:r>
    </w:p>
    <w:p>
      <w:pPr>
        <w:pStyle w:val="ListBullet"/>
      </w:pPr>
      <w:r>
        <w:rPr>
          <w:b/>
        </w:rPr>
        <w:t>Centros de Custo</w:t>
      </w:r>
      <w:r>
        <w:t xml:space="preserve"> — cadastro hierárquico, marcação de "aceita rateio", ativação/</w:t>
      </w:r>
    </w:p>
    <w:p>
      <w:r>
        <w:t>inativação.</w:t>
      </w:r>
    </w:p>
    <w:p>
      <w:pPr>
        <w:pStyle w:val="ListBullet"/>
      </w:pPr>
      <w:r>
        <w:rPr>
          <w:b/>
        </w:rPr>
        <w:t>Rateios de Centro de Custo</w:t>
      </w:r>
      <w:r>
        <w:t xml:space="preserve"> — definição de um rateio nomeado com a lista de centros e</w:t>
      </w:r>
    </w:p>
    <w:p>
      <w:r>
        <w:t>seus percentuais.</w:t>
      </w:r>
    </w:p>
    <w:p>
      <w:pPr>
        <w:pStyle w:val="ListBullet"/>
      </w:pPr>
      <w:r>
        <w:rPr>
          <w:b/>
        </w:rPr>
        <w:t>Aprovações Pendentes</w:t>
      </w:r>
      <w:r>
        <w:t xml:space="preserve"> — lista de solicitações aguardando decisão do usuário logado, com</w:t>
      </w:r>
    </w:p>
    <w:p>
      <w:r>
        <w:t>ação de aprovar/rejeitar e campo de justificativa.</w:t>
      </w:r>
    </w:p>
    <w:p>
      <w:pPr>
        <w:pStyle w:val="ListBullet"/>
      </w:pPr>
      <w:r>
        <w:rPr>
          <w:b/>
        </w:rPr>
        <w:t>Configuração de Alçadas</w:t>
      </w:r>
      <w:r>
        <w:t xml:space="preserve"> — definição das faixas de valor, papel aprovador, prazo e ação</w:t>
      </w:r>
    </w:p>
    <w:p>
      <w:r>
        <w:t>em caso de estouro de prazo (escalar ou aprovar automaticamente).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3. Módulo I — Motor Fiscal e Reforma Tributária</w:t>
      </w:r>
    </w:p>
    <w:p>
      <w:pPr>
        <w:pStyle w:val="IntenseQuote"/>
      </w:pPr>
      <w:r>
        <w:t>⚠️ Este módulo depende de parâmetros ainda não publicados pelo órgão gestor da reforma</w:t>
      </w:r>
    </w:p>
    <w:p>
      <w:pPr>
        <w:pStyle w:val="IntenseQuote"/>
      </w:pPr>
      <w:r>
        <w:t>(Comitê Gestor do IBS). Todo o texto abaixo deve ser validado por um especialista fiscal</w:t>
      </w:r>
    </w:p>
    <w:p>
      <w:pPr>
        <w:pStyle w:val="IntenseQuote"/>
      </w:pPr>
      <w:r>
        <w:t>antes de qualquer uso em produção — alíquotas, códigos de situação tributária e listas de</w:t>
      </w:r>
    </w:p>
    <w:p>
      <w:pPr>
        <w:pStyle w:val="IntenseQuote"/>
      </w:pPr>
      <w:r>
        <w:t>NCM (Nomenclatura Comum do Mercosul) dependem de confirmação com a legislação em vigor</w:t>
      </w:r>
    </w:p>
    <w:p>
      <w:pPr>
        <w:pStyle w:val="IntenseQuote"/>
      </w:pPr>
      <w:r>
        <w:t>(LC 214/2025 e normas técnicas complementares da Receita Federal).</w:t>
      </w:r>
    </w:p>
    <w:p>
      <w:pPr>
        <w:pStyle w:val="Heading3"/>
      </w:pPr>
      <w:r>
        <w:t>3.1 Objetivo</w:t>
      </w:r>
    </w:p>
    <w:p>
      <w:r>
        <w:t>Calcular, para cada operação de venda ou compra, quais tributos incidem e em qual valor, durante o período de transição (2026–2033) em que os tributos atuais (ICMS, ISS, PIS, Cofins) coexistem com os novos tributos da reforma (IBS, CBS e Imposto Seletivo — IS). O resultado desse cálculo alimenta o título a pagar/receber gerado a partir da nota fiscal.</w:t>
      </w:r>
    </w:p>
    <w:p>
      <w:pPr>
        <w:pStyle w:val="Heading3"/>
      </w:pPr>
      <w:r>
        <w:t>3.2 Conceitos</w:t>
      </w:r>
    </w:p>
    <w:p>
      <w:pPr>
        <w:pStyle w:val="ListBullet"/>
      </w:pPr>
      <w:r>
        <w:rPr>
          <w:b/>
        </w:rPr>
        <w:t>IBS (Imposto sobre Bens e Serviços)</w:t>
      </w:r>
      <w:r>
        <w:t xml:space="preserve"> — parte estadual e parte municipal, calculado com</w:t>
      </w:r>
    </w:p>
    <w:p>
      <w:r>
        <w:t xml:space="preserve">base no </w:t>
      </w:r>
      <w:r>
        <w:rPr>
          <w:b/>
        </w:rPr>
        <w:t>município de destino</w:t>
      </w:r>
      <w:r>
        <w:t xml:space="preserve"> da operação (onde está o comprador/tomador), não no município do vendedor.</w:t>
      </w:r>
    </w:p>
    <w:p>
      <w:pPr>
        <w:pStyle w:val="ListBullet"/>
      </w:pPr>
      <w:r>
        <w:rPr>
          <w:b/>
        </w:rPr>
        <w:t>CBS (Contribuição sobre Bens e Serviços)</w:t>
      </w:r>
      <w:r>
        <w:t xml:space="preserve"> — tributo federal que substitui PIS/Cofins,</w:t>
      </w:r>
    </w:p>
    <w:p>
      <w:r>
        <w:t xml:space="preserve">calculado conforme o </w:t>
      </w:r>
      <w:r>
        <w:rPr>
          <w:b/>
        </w:rPr>
        <w:t>regime tributário do vendedor</w:t>
      </w:r>
      <w:r>
        <w:t>.</w:t>
      </w:r>
    </w:p>
    <w:p>
      <w:pPr>
        <w:pStyle w:val="ListBullet"/>
      </w:pPr>
      <w:r>
        <w:rPr>
          <w:b/>
        </w:rPr>
        <w:t>IS (Imposto Seletivo)</w:t>
      </w:r>
      <w:r>
        <w:t xml:space="preserve"> — incide sobre produtos específicos considerados nocivos à saúde</w:t>
      </w:r>
    </w:p>
    <w:p>
      <w:r>
        <w:t>ou ao meio ambiente (cigarros, bebidas alcoólicas, veículos, embarcações, aeronaves, bebidas açucaradas, produtos minerais, entre outros listados em lei). Não é compensável — é recolhido integralmente por quem fabrica ou importa o produto.</w:t>
      </w:r>
    </w:p>
    <w:p>
      <w:pPr>
        <w:pStyle w:val="ListBullet"/>
      </w:pPr>
      <w:r>
        <w:rPr>
          <w:b/>
        </w:rPr>
        <w:t>Split payment</w:t>
      </w:r>
      <w:r>
        <w:t xml:space="preserve"> — mecanismo pelo qual, em pagamentos eletrônicos, parte do valor</w:t>
      </w:r>
    </w:p>
    <w:p>
      <w:r>
        <w:t>correspondente ao imposto é automaticamente segregada e direcionada ao poder público no momento da liquidação, em vez de ficar com o vendedor para recolhimento posterior. Entra em produção a partir de 2027.</w:t>
      </w:r>
    </w:p>
    <w:p>
      <w:pPr>
        <w:pStyle w:val="ListBullet"/>
      </w:pPr>
      <w:r>
        <w:rPr>
          <w:b/>
        </w:rPr>
        <w:t>Regimes diferenciados</w:t>
      </w:r>
      <w:r>
        <w:t xml:space="preserve"> — determinados produtos e serviços têm tratamento tributário</w:t>
      </w:r>
    </w:p>
    <w:p>
      <w:r>
        <w:t>especial: alíquota zero (ex.: itens da cesta básica, hortícolas, frutas, ovos, medicamentos, dispositivos médicos, produtos de acessibilidade para PcD), redução de 60% na alíquota (ex.: educação, saúde, produções artísticas, insumos agropecuários, higiene pessoal básica) ou tributação monofásica (imposto recolhido uma única vez na origem da cadeia, sem incidência nas etapas seguintes).</w:t>
      </w:r>
    </w:p>
    <w:p>
      <w:pPr>
        <w:pStyle w:val="ListBullet"/>
      </w:pPr>
      <w:r>
        <w:rPr>
          <w:b/>
        </w:rPr>
        <w:t>Crédito tributário</w:t>
      </w:r>
      <w:r>
        <w:t xml:space="preserve"> — direito de abater, do imposto devido nas vendas, o imposto pago</w:t>
      </w:r>
    </w:p>
    <w:p>
      <w:r>
        <w:t>nas compras. A regra de quem tem direito a crédito e em que proporção depende do regime tributário de quem vendeu (ver regras abaixo).</w:t>
      </w:r>
    </w:p>
    <w:p>
      <w:pPr>
        <w:pStyle w:val="Heading3"/>
      </w:pPr>
      <w:r>
        <w:t>3.3 Cronograma da transição (2026–2033)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 que muda</w:t>
            </w:r>
          </w:p>
        </w:tc>
      </w:tr>
      <w:tr>
        <w:tc>
          <w:tcPr>
            <w:tcW w:type="dxa" w:w="4680"/>
          </w:tcPr>
          <w:p>
            <w:r>
              <w:t>2026</w:t>
            </w:r>
          </w:p>
        </w:tc>
        <w:tc>
          <w:tcPr>
            <w:tcW w:type="dxa" w:w="4680"/>
          </w:tcPr>
          <w:p>
            <w:r>
              <w:t>CBS (0,9%) e IBS (0,1%) começam a ser destacados nas notas fiscais, em caráter de teste/piloto, convivendo com os tributos atuais.</w:t>
            </w:r>
          </w:p>
        </w:tc>
      </w:tr>
      <w:tr>
        <w:tc>
          <w:tcPr>
            <w:tcW w:type="dxa" w:w="4680"/>
          </w:tcPr>
          <w:p>
            <w:r>
              <w:t>2027</w:t>
            </w:r>
          </w:p>
        </w:tc>
        <w:tc>
          <w:tcPr>
            <w:tcW w:type="dxa" w:w="4680"/>
          </w:tcPr>
          <w:p>
            <w:r>
              <w:t>PIS e Cofins deixam de existir. CBS passa a valer em alíquota plena (estimada em torno de 8,8%). O Imposto Seletivo passa a ser cobrado. O split payment entra em produção.</w:t>
            </w:r>
          </w:p>
        </w:tc>
      </w:tr>
      <w:tr>
        <w:tc>
          <w:tcPr>
            <w:tcW w:type="dxa" w:w="4680"/>
          </w:tcPr>
          <w:p>
            <w:r>
              <w:t>2028</w:t>
            </w:r>
          </w:p>
        </w:tc>
        <w:tc>
          <w:tcPr>
            <w:tcW w:type="dxa" w:w="4680"/>
          </w:tcPr>
          <w:p>
            <w:r>
              <w:t>CBS já em regime normal; ICMS e ISS ainda vigentes, convivendo com os novos tributos.</w:t>
            </w:r>
          </w:p>
        </w:tc>
      </w:tr>
      <w:tr>
        <w:tc>
          <w:tcPr>
            <w:tcW w:type="dxa" w:w="4680"/>
          </w:tcPr>
          <w:p>
            <w:r>
              <w:t>2029–2032</w:t>
            </w:r>
          </w:p>
        </w:tc>
        <w:tc>
          <w:tcPr>
            <w:tcW w:type="dxa" w:w="4680"/>
          </w:tcPr>
          <w:p>
            <w:r>
              <w:t>ICMS e ISS são reduzidos progressivamente, ano a ano.</w:t>
            </w:r>
          </w:p>
        </w:tc>
      </w:tr>
      <w:tr>
        <w:tc>
          <w:tcPr>
            <w:tcW w:type="dxa" w:w="4680"/>
          </w:tcPr>
          <w:p>
            <w:r>
              <w:t>2033</w:t>
            </w:r>
          </w:p>
        </w:tc>
        <w:tc>
          <w:tcPr>
            <w:tcW w:type="dxa" w:w="4680"/>
          </w:tcPr>
          <w:p>
            <w:r>
              <w:t>ICMS e ISS deixam de existir — sistema tributário 100% baseado em IBS e CBS.</w:t>
            </w:r>
          </w:p>
        </w:tc>
      </w:tr>
    </w:tbl>
    <w:p/>
    <w:p>
      <w:pPr>
        <w:pStyle w:val="Heading3"/>
      </w:pPr>
      <w:r>
        <w:t>3.4 Ordem de prioridade das regras de cálculo</w:t>
      </w:r>
    </w:p>
    <w:p>
      <w:r>
        <w:t>Quando mais de uma regra poderia se aplicar a uma mesma operação, prevalece a mais específica, na seguinte ordem (da mais geral para a mais específica):</w:t>
      </w:r>
    </w:p>
    <w:p>
      <w:pPr>
        <w:pStyle w:val="ListNumber"/>
      </w:pPr>
      <w:r>
        <w:t>Alíquota padrão do ano vigente.</w:t>
      </w:r>
    </w:p>
    <w:p>
      <w:pPr>
        <w:pStyle w:val="ListNumber"/>
      </w:pPr>
      <w:r>
        <w:t>Regime diferenciado do produto/serviço (definido pelo código fiscal — NCM ou código de</w:t>
      </w:r>
    </w:p>
    <w:p>
      <w:r>
        <w:t>serviço).</w:t>
      </w:r>
    </w:p>
    <w:p>
      <w:pPr>
        <w:pStyle w:val="ListNumber"/>
      </w:pPr>
      <w:r>
        <w:t>Regra da operação em si (por exemplo, uma operação classificada como "brinde" pode zerar</w:t>
      </w:r>
    </w:p>
    <w:p>
      <w:r>
        <w:t>o direito a crédito, independentemente do produto).</w:t>
      </w:r>
    </w:p>
    <w:p>
      <w:pPr>
        <w:pStyle w:val="ListNumber"/>
      </w:pPr>
      <w:r>
        <w:t>Configuração específica do produto, que pode sobrescrever a alíquota do Imposto Seletivo</w:t>
      </w:r>
    </w:p>
    <w:p>
      <w:r>
        <w:t>definida pelo código fiscal.</w:t>
      </w:r>
    </w:p>
    <w:p>
      <w:pPr>
        <w:pStyle w:val="ListNumber"/>
      </w:pPr>
      <w:r>
        <w:t>Regime tributário de quem está vendendo — por exemplo, uma empresa do Simples Nacional</w:t>
      </w:r>
    </w:p>
    <w:p>
      <w:r>
        <w:t>não gera crédito de IBS/CBS integral para quem compra dela.</w:t>
      </w:r>
    </w:p>
    <w:p>
      <w:r>
        <w:rPr>
          <w:b/>
        </w:rPr>
        <w:t>Exemplo:</w:t>
      </w:r>
      <w:r>
        <w:t xml:space="preserve"> um produto da cesta básica (alíquota zero) vendido por uma empresa do Simples Nacional continua com alíquota zero — a regra do produto prevalece sobre a regra do regime do vendedor.</w:t>
      </w:r>
    </w:p>
    <w:p>
      <w:pPr>
        <w:pStyle w:val="Heading3"/>
      </w:pPr>
      <w:r>
        <w:t>3.5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RN-MF-001</w:t>
            </w:r>
          </w:p>
        </w:tc>
        <w:tc>
          <w:tcPr>
            <w:tcW w:type="dxa" w:w="4680"/>
          </w:tcPr>
          <w:p>
            <w:r>
              <w:t xml:space="preserve">A alíquota de IBS é sempre determinada pelo </w:t>
            </w:r>
            <w:r>
              <w:rPr>
                <w:b/>
              </w:rPr>
              <w:t>município de destino</w:t>
            </w:r>
            <w:r>
              <w:t xml:space="preserve"> da operação (onde está o destinatário), nunca pelo município de quem vendeu.</w:t>
            </w:r>
          </w:p>
        </w:tc>
      </w:tr>
      <w:tr>
        <w:tc>
          <w:tcPr>
            <w:tcW w:type="dxa" w:w="4680"/>
          </w:tcPr>
          <w:p>
            <w:r>
              <w:t>RN-MF-002</w:t>
            </w:r>
          </w:p>
        </w:tc>
        <w:tc>
          <w:tcPr>
            <w:tcW w:type="dxa" w:w="4680"/>
          </w:tcPr>
          <w:p>
            <w:r>
              <w:t xml:space="preserve">Um comprador </w:t>
            </w:r>
            <w:r>
              <w:rPr>
                <w:b/>
              </w:rPr>
              <w:t>MEI</w:t>
            </w:r>
            <w:r>
              <w:t xml:space="preserve"> nunca tem direito a crédito de IBS/CBS na compra. Um comprador que compra de um fornecedor do </w:t>
            </w:r>
            <w:r>
              <w:rPr>
                <w:b/>
              </w:rPr>
              <w:t>Simples Nacional</w:t>
            </w:r>
            <w:r>
              <w:t xml:space="preserve"> tem direito a um crédito </w:t>
            </w:r>
            <w:r>
              <w:rPr>
                <w:b/>
              </w:rPr>
              <w:t>reduzido</w:t>
            </w:r>
            <w:r>
              <w:t>, equivalente ao valor efetivamente recolhido dentro do regime simplificado — a menos que o fornecedor do Simples tenha optado por recolher IBS/CBS pelo regime normal (fora do regime simplificado), caso em que o crédito é integral.</w:t>
            </w:r>
          </w:p>
        </w:tc>
      </w:tr>
      <w:tr>
        <w:tc>
          <w:tcPr>
            <w:tcW w:type="dxa" w:w="4680"/>
          </w:tcPr>
          <w:p>
            <w:r>
              <w:t>RN-MF-003</w:t>
            </w:r>
          </w:p>
        </w:tc>
        <w:tc>
          <w:tcPr>
            <w:tcW w:type="dxa" w:w="4680"/>
          </w:tcPr>
          <w:p>
            <w:r>
              <w:t>Produto da cesta básica nacional tem alíquota zero de IBS, CBS e IS. Produto de tributação monofásica não gera crédito ao longo da cadeia de revenda (o imposto já foi recolhido de uma só vez na origem).</w:t>
            </w:r>
          </w:p>
        </w:tc>
      </w:tr>
      <w:tr>
        <w:tc>
          <w:tcPr>
            <w:tcW w:type="dxa" w:w="4680"/>
          </w:tcPr>
          <w:p>
            <w:r>
              <w:t>RN-MF-004</w:t>
            </w:r>
          </w:p>
        </w:tc>
        <w:tc>
          <w:tcPr>
            <w:tcW w:type="dxa" w:w="4680"/>
          </w:tcPr>
          <w:p>
            <w:r>
              <w:t>O Imposto Seletivo não é compensável — é recolhido integralmente por quem fabrica ou importa; nas etapas seguintes da cadeia (distribuidor, varejista) o IS não incide novamente.</w:t>
            </w:r>
          </w:p>
        </w:tc>
      </w:tr>
      <w:tr>
        <w:tc>
          <w:tcPr>
            <w:tcW w:type="dxa" w:w="4680"/>
          </w:tcPr>
          <w:p>
            <w:r>
              <w:t>RN-MF-005</w:t>
            </w:r>
          </w:p>
        </w:tc>
        <w:tc>
          <w:tcPr>
            <w:tcW w:type="dxa" w:w="4680"/>
          </w:tcPr>
          <w:p>
            <w:r>
              <w:t>O split payment se aplica a pagamentos por meio eletrônico — PIX, cartão e boleto (quando liquidado por meio de arranjo de pagamento eletrônico). Pagamentos em dinheiro ou cheque ficam fora do split. O modelo adotado ("split inteligente") segrega, no máximo, o saldo devedor do fornecedor considerando os créditos que ele já apurou; o excedente eventualmente retido é devolvido em até 3 dias úteis.</w:t>
            </w:r>
          </w:p>
        </w:tc>
      </w:tr>
      <w:tr>
        <w:tc>
          <w:tcPr>
            <w:tcW w:type="dxa" w:w="4680"/>
          </w:tcPr>
          <w:p>
            <w:r>
              <w:t>RN-MF-006</w:t>
            </w:r>
          </w:p>
        </w:tc>
        <w:tc>
          <w:tcPr>
            <w:tcW w:type="dxa" w:w="4680"/>
          </w:tcPr>
          <w:p>
            <w:r>
              <w:t>O cálculo do motor fiscal é determinístico: os mesmos dados de entrada sempre produzem o mesmo resultado, sem depender de estado interno ou histórico de cálculos anteriores.</w:t>
            </w:r>
          </w:p>
        </w:tc>
      </w:tr>
      <w:tr>
        <w:tc>
          <w:tcPr>
            <w:tcW w:type="dxa" w:w="4680"/>
          </w:tcPr>
          <w:p>
            <w:r>
              <w:t>RN-MF-007</w:t>
            </w:r>
          </w:p>
        </w:tc>
        <w:tc>
          <w:tcPr>
            <w:tcW w:type="dxa" w:w="4680"/>
          </w:tcPr>
          <w:p>
            <w:r>
              <w:t>As alíquotas de IBS por município são atualizadas anualmente, conforme publicação do órgão gestor nacional do IBS (Comitê Gestor).</w:t>
            </w:r>
          </w:p>
        </w:tc>
      </w:tr>
      <w:tr>
        <w:tc>
          <w:tcPr>
            <w:tcW w:type="dxa" w:w="4680"/>
          </w:tcPr>
          <w:p>
            <w:r>
              <w:t>RN-MF-008</w:t>
            </w:r>
          </w:p>
        </w:tc>
        <w:tc>
          <w:tcPr>
            <w:tcW w:type="dxa" w:w="4680"/>
          </w:tcPr>
          <w:p>
            <w:r>
              <w:t xml:space="preserve">Saldo credor acumulado de IBS/CBS (quando os créditos superam os débitos em um mês) </w:t>
            </w:r>
            <w:r>
              <w:rPr>
                <w:b/>
              </w:rPr>
              <w:t>não expira</w:t>
            </w:r>
            <w:r>
              <w:t xml:space="preserve"> — é utilizado para compensar tributos devidos em meses futuros.</w:t>
            </w:r>
          </w:p>
        </w:tc>
      </w:tr>
      <w:tr>
        <w:tc>
          <w:tcPr>
            <w:tcW w:type="dxa" w:w="4680"/>
          </w:tcPr>
          <w:p>
            <w:r>
              <w:t>RN-MF-009</w:t>
            </w:r>
          </w:p>
        </w:tc>
        <w:tc>
          <w:tcPr>
            <w:tcW w:type="dxa" w:w="4680"/>
          </w:tcPr>
          <w:p>
            <w:r>
              <w:t>Uma apuração mensal fechada não pode ser reaberta. Uma correção é feita através de uma nova apuração retificadora, referente à mesma competência.</w:t>
            </w:r>
          </w:p>
        </w:tc>
      </w:tr>
      <w:tr>
        <w:tc>
          <w:tcPr>
            <w:tcW w:type="dxa" w:w="4680"/>
          </w:tcPr>
          <w:p>
            <w:r>
              <w:t>RN-MF-010</w:t>
            </w:r>
          </w:p>
        </w:tc>
        <w:tc>
          <w:tcPr>
            <w:tcW w:type="dxa" w:w="4680"/>
          </w:tcPr>
          <w:p>
            <w:r>
              <w:t>Se um produto não tiver o código fiscal (NCM) cadastrado, o sistema não bloqueia a operação: calcula com a alíquota padrão e emite um aviso para o operador revisar o cadastro do produto.</w:t>
            </w:r>
          </w:p>
        </w:tc>
      </w:tr>
      <w:tr>
        <w:tc>
          <w:tcPr>
            <w:tcW w:type="dxa" w:w="4680"/>
          </w:tcPr>
          <w:p>
            <w:r>
              <w:t>RN-MF-011</w:t>
            </w:r>
          </w:p>
        </w:tc>
        <w:tc>
          <w:tcPr>
            <w:tcW w:type="dxa" w:w="4680"/>
          </w:tcPr>
          <w:p>
            <w:r>
              <w:t>O Imposto Seletivo integra a base de cálculo do IBS e do CBS (ou seja, primeiro calcula-se o IS, depois soma-se ao valor da operação para então calcular IBS e CBS sobre essa base maior).</w:t>
            </w:r>
          </w:p>
        </w:tc>
      </w:tr>
      <w:tr>
        <w:tc>
          <w:tcPr>
            <w:tcW w:type="dxa" w:w="4680"/>
          </w:tcPr>
          <w:p>
            <w:r>
              <w:t>RN-MF-012</w:t>
            </w:r>
          </w:p>
        </w:tc>
        <w:tc>
          <w:tcPr>
            <w:tcW w:type="dxa" w:w="4680"/>
          </w:tcPr>
          <w:p>
            <w:r>
              <w:t xml:space="preserve">Regimes diferenciados (alíquota zero, redução de alíquota) reduzem a </w:t>
            </w:r>
            <w:r>
              <w:rPr>
                <w:b/>
              </w:rPr>
              <w:t>alíquota</w:t>
            </w:r>
            <w:r>
              <w:t xml:space="preserve"> aplicada, não a base de cálculo — a nota fiscal sempre mostra a base cheia, com o percentual de redução destacado.</w:t>
            </w:r>
          </w:p>
        </w:tc>
      </w:tr>
      <w:tr>
        <w:tc>
          <w:tcPr>
            <w:tcW w:type="dxa" w:w="4680"/>
          </w:tcPr>
          <w:p>
            <w:r>
              <w:t>RN-MF-013</w:t>
            </w:r>
          </w:p>
        </w:tc>
        <w:tc>
          <w:tcPr>
            <w:tcW w:type="dxa" w:w="4680"/>
          </w:tcPr>
          <w:p>
            <w:r>
              <w:t xml:space="preserve">Para serviços, o município relevante para o IBS é o </w:t>
            </w:r>
            <w:r>
              <w:rPr>
                <w:b/>
              </w:rPr>
              <w:t>local onde o serviço é efetivamente prestado</w:t>
            </w:r>
            <w:r>
              <w:t>, e não necessariamente o endereço de quem contratou — exceto para categorias específicas de serviço com regra própria (ex.: serviços sobre imóveis usam o local do imóvel; serviços digitais remotos usam o domicílio de quem contratou; transporte usa o destino da carga/passageiro).</w:t>
            </w:r>
          </w:p>
        </w:tc>
      </w:tr>
      <w:tr>
        <w:tc>
          <w:tcPr>
            <w:tcW w:type="dxa" w:w="4680"/>
          </w:tcPr>
          <w:p>
            <w:r>
              <w:t>RN-MF-014</w:t>
            </w:r>
          </w:p>
        </w:tc>
        <w:tc>
          <w:tcPr>
            <w:tcW w:type="dxa" w:w="4680"/>
          </w:tcPr>
          <w:p>
            <w:r>
              <w:t>Uma devolução de mercadoria ou serviço gera o cálculo fiscal com valores invertidos (créditos e débitos revertidos na proporção devolvida), anulando o efeito da operação original na medida da devolução.</w:t>
            </w:r>
          </w:p>
        </w:tc>
      </w:tr>
      <w:tr>
        <w:tc>
          <w:tcPr>
            <w:tcW w:type="dxa" w:w="4680"/>
          </w:tcPr>
          <w:p>
            <w:r>
              <w:t>RN-MF-015</w:t>
            </w:r>
          </w:p>
        </w:tc>
        <w:tc>
          <w:tcPr>
            <w:tcW w:type="dxa" w:w="4680"/>
          </w:tcPr>
          <w:p>
            <w:r>
              <w:t>Ao fechar a apuração mensal, o sistema gera automaticamente os títulos a pagar das guias de recolhimento (uma para IBS, uma para CBS, uma para o Imposto Seletivo), com vencimento no prazo legal — apenas para os tributos com saldo devedor; tributo com saldo credor não gera guia.</w:t>
            </w:r>
          </w:p>
        </w:tc>
      </w:tr>
      <w:tr>
        <w:tc>
          <w:tcPr>
            <w:tcW w:type="dxa" w:w="4680"/>
          </w:tcPr>
          <w:p>
            <w:r>
              <w:t>RN-MF-016</w:t>
            </w:r>
          </w:p>
        </w:tc>
        <w:tc>
          <w:tcPr>
            <w:tcW w:type="dxa" w:w="4680"/>
          </w:tcPr>
          <w:p>
            <w:r>
              <w:t xml:space="preserve">IBS, CBS e IS têm fato gerador na </w:t>
            </w:r>
            <w:r>
              <w:rPr>
                <w:b/>
              </w:rPr>
              <w:t>operação</w:t>
            </w:r>
            <w:r>
              <w:t xml:space="preserve"> (emissão/entrega), não no recebimento. Um cliente que não paga o título </w:t>
            </w:r>
            <w:r>
              <w:rPr>
                <w:b/>
              </w:rPr>
              <w:t>não</w:t>
            </w:r>
            <w:r>
              <w:t xml:space="preserve"> reverte o imposto já devido — a perda é tratada como risco de crédito, via provisão para devedores duvidosos (ver §8), e não como estorno fiscal. Estorno fiscal só ocorre por cancelamento da operação ou devolução documentada (nota de crédito — RN-MF-014).</w:t>
            </w:r>
          </w:p>
        </w:tc>
      </w:tr>
    </w:tbl>
    <w:p/>
    <w:p>
      <w:pPr>
        <w:pStyle w:val="Heading3"/>
      </w:pPr>
      <w:r>
        <w:t>3.6 Casos especiais</w:t>
      </w:r>
    </w:p>
    <w:p>
      <w:pPr>
        <w:pStyle w:val="ListBullet"/>
      </w:pPr>
      <w:r>
        <w:rPr>
          <w:b/>
        </w:rPr>
        <w:t>Venda por empresa do Simples Nacional:</w:t>
      </w:r>
      <w:r>
        <w:t xml:space="preserve"> a nota fiscal destaca IBS e CBS normalmente</w:t>
      </w:r>
    </w:p>
    <w:p>
      <w:r>
        <w:t>(o comprador toma crédito ou não, dependendo do próprio regime). A empresa do Simples recolhe o tributo em alíquota reduzida, calculada sobre a receita bruta mensal — não operação a operação.</w:t>
      </w:r>
    </w:p>
    <w:p>
      <w:pPr>
        <w:pStyle w:val="ListBullet"/>
      </w:pPr>
      <w:r>
        <w:rPr>
          <w:b/>
        </w:rPr>
        <w:t>Compra por empresa do Simples Nacional:</w:t>
      </w:r>
      <w:r>
        <w:t xml:space="preserve"> não há direito a crédito — o valor do imposto</w:t>
      </w:r>
    </w:p>
    <w:p>
      <w:r>
        <w:t>destacado na nota do fornecedor vira custo do produto comprado.</w:t>
      </w:r>
    </w:p>
    <w:p>
      <w:pPr>
        <w:pStyle w:val="ListBullet"/>
      </w:pPr>
      <w:r>
        <w:rPr>
          <w:b/>
        </w:rPr>
        <w:t>MEI:</w:t>
      </w:r>
      <w:r>
        <w:t xml:space="preserve"> não destaca IBS nem CBS nas notas fiscais, tanto na compra quanto na venda; todos</w:t>
      </w:r>
    </w:p>
    <w:p>
      <w:r>
        <w:t>os valores calculados para o MEI saem zerados.</w:t>
      </w:r>
    </w:p>
    <w:p>
      <w:pPr>
        <w:pStyle w:val="ListBullet"/>
      </w:pPr>
      <w:r>
        <w:rPr>
          <w:b/>
        </w:rPr>
        <w:t>Zona Franca de Manaus:</w:t>
      </w:r>
      <w:r>
        <w:t xml:space="preserve"> produtos industrializados lá têm benefício fiscal preservado —</w:t>
      </w:r>
    </w:p>
    <w:p>
      <w:r>
        <w:t>alíquota reduzida quando enviados para fora de Manaus. Caso de alta complexidade, a ser validado com especialista antes de entrar em produção.</w:t>
      </w:r>
    </w:p>
    <w:p>
      <w:pPr>
        <w:pStyle w:val="ListBullet"/>
      </w:pPr>
      <w:r>
        <w:rPr>
          <w:b/>
        </w:rPr>
        <w:t>Importação:</w:t>
      </w:r>
      <w:r>
        <w:t xml:space="preserve"> a CBS incide no desembaraço aduaneiro (recolhida por quem importa); o IBS</w:t>
      </w:r>
    </w:p>
    <w:p>
      <w:r>
        <w:t>segue as regras do destino final do produto.</w:t>
      </w:r>
    </w:p>
    <w:p>
      <w:pPr>
        <w:pStyle w:val="Heading3"/>
      </w:pPr>
      <w:r>
        <w:t>3.7 Integração com o Financeiro</w:t>
      </w:r>
    </w:p>
    <w:p>
      <w:r>
        <w:t>Quando uma nota fiscal de entrada é aprovada, o motor calcula os tributos e o resultado é usado para: (1) criar o(s) título(s) a pagar correspondente(s) com os valores de imposto já identificados, e (2) somar os créditos de IBS/CBS na apuração mensal do tenant. Quando uma nota de saída é emitida, o mesmo cálculo cria o(s) título(s) a receber e soma os débitos na apuração mensal.</w:t>
      </w:r>
    </w:p>
    <w:p>
      <w:pPr>
        <w:pStyle w:val="IntenseQuote"/>
      </w:pPr>
      <w:r>
        <w:rPr>
          <w:b/>
        </w:rPr>
        <w:t>Implementação:</w:t>
      </w:r>
      <w:r>
        <w:t xml:space="preserve"> hoje só a metade do cálculo existe. O </w:t>
      </w:r>
      <w:r>
        <w:rPr>
          <w:rFonts w:ascii="Consolas" w:hAnsi="Consolas"/>
          <w:sz w:val="19"/>
        </w:rPr>
        <w:t>fiscal-service</w:t>
      </w:r>
      <w:r>
        <w:t xml:space="preserve"> já calcula saída</w:t>
      </w:r>
    </w:p>
    <w:p>
      <w:pPr>
        <w:pStyle w:val="IntenseQuote"/>
      </w:pPr>
      <w:r>
        <w:t>(IBS/CBS/IS) e crédito de entrada (</w:t>
      </w:r>
      <w:r>
        <w:rPr>
          <w:rFonts w:ascii="Consolas" w:hAnsi="Consolas"/>
          <w:sz w:val="19"/>
        </w:rPr>
        <w:t>POST /fiscal/calcular</w:t>
      </w:r>
      <w:r>
        <w:t>), mas devolve o resultado numa</w:t>
      </w:r>
    </w:p>
    <w:p>
      <w:pPr>
        <w:pStyle w:val="IntenseQuote"/>
      </w:pPr>
      <w:r>
        <w:t>resposta — não cria título, não soma nada em apuração mensal, porque nenhuma dessas duas</w:t>
      </w:r>
    </w:p>
    <w:p>
      <w:pPr>
        <w:pStyle w:val="IntenseQuote"/>
      </w:pPr>
      <w:r>
        <w:t>coisas existe ainda (não há entidade título nem apuração persistida em serviço nenhum). Em</w:t>
      </w:r>
    </w:p>
    <w:p>
      <w:pPr>
        <w:pStyle w:val="IntenseQuote"/>
      </w:pPr>
      <w:r>
        <w:rPr>
          <w:rFonts w:ascii="Consolas" w:hAnsi="Consolas"/>
          <w:sz w:val="19"/>
        </w:rPr>
        <w:t>operacoes-service</w:t>
      </w:r>
      <w:r>
        <w:t>, o O2C (vendas) já calcula os impostos no faturamento (ver</w:t>
      </w:r>
    </w:p>
    <w:p>
      <w:pPr>
        <w:pStyle w:val="IntenseQuote"/>
      </w:pPr>
      <w:r>
        <w:rPr>
          <w:rFonts w:ascii="Consolas" w:hAnsi="Consolas"/>
          <w:sz w:val="19"/>
        </w:rPr>
        <w:t>spec/o2c-vendas-funcional.md</w:t>
      </w:r>
      <w:r>
        <w:t>) e o P2P (compras) está com os impostos da nota de entrada</w:t>
      </w:r>
    </w:p>
    <w:p>
      <w:pPr>
        <w:pStyle w:val="IntenseQuote"/>
      </w:pPr>
      <w:r>
        <w:t xml:space="preserve">zerados/informativos até essa chamada ao </w:t>
      </w:r>
      <w:r>
        <w:rPr>
          <w:rFonts w:ascii="Consolas" w:hAnsi="Consolas"/>
          <w:sz w:val="19"/>
        </w:rPr>
        <w:t>fiscal-service</w:t>
      </w:r>
      <w:r>
        <w:t xml:space="preserve"> ser feita (ver</w:t>
      </w:r>
    </w:p>
    <w:p>
      <w:pPr>
        <w:pStyle w:val="IntenseQuote"/>
      </w:pPr>
      <w:r>
        <w:rPr>
          <w:rFonts w:ascii="Consolas" w:hAnsi="Consolas"/>
          <w:sz w:val="19"/>
        </w:rPr>
        <w:t>spec/p2p-compras-funcional.md</w:t>
      </w:r>
      <w:r>
        <w:t>) — em ambos os casos o "título pronto para o financeiro" citado</w:t>
      </w:r>
    </w:p>
    <w:p>
      <w:pPr>
        <w:pStyle w:val="IntenseQuote"/>
      </w:pPr>
      <w:r>
        <w:t>é hoje só um aviso enviado a um sistema financeiro que ainda não existe para recebê-lo.</w:t>
      </w:r>
    </w:p>
    <w:p>
      <w:r>
        <w:rPr>
          <w:b/>
        </w:rPr>
        <w:t>Conciliação do split payment (a partir de 2027):</w:t>
      </w:r>
      <w:r>
        <w:t xml:space="preserve"> quando a adquirente/Banco Central retém IBS/CBS já na liquidação do pagamento (RN-MF-005), o título é baixado pelo valor </w:t>
      </w:r>
      <w:r>
        <w:rPr>
          <w:b/>
        </w:rPr>
        <w:t>bruto</w:t>
      </w:r>
      <w:r>
        <w:t xml:space="preserve"> (o valor da venda, imposto incluso), mas o caixa só recebe o valor </w:t>
      </w:r>
      <w:r>
        <w:rPr>
          <w:b/>
        </w:rPr>
        <w:t>líquido</w:t>
      </w:r>
      <w:r>
        <w:t xml:space="preserve"> (bruto menos o imposto retido na fonte pelo arranjo de pagamento). A diferença retida é registrada numa conta transitória de impostos recolhidos na liquidação — assim a conciliação bancária casa exatamente com o valor líquido depositado, sem sobrar diferença de centavos em aberto. O acerto dessa conta transitória contra o valor efetivamente apurado acontece na apuração fiscal mensal (§3.5, RN-MF-015).</w:t>
      </w:r>
    </w:p>
    <w:p>
      <w:pPr>
        <w:pStyle w:val="Heading3"/>
      </w:pPr>
      <w:r>
        <w:t>3.8 Validações</w:t>
      </w:r>
    </w:p>
    <w:p>
      <w:pPr>
        <w:pStyle w:val="ListBullet"/>
      </w:pPr>
      <w:r>
        <w:t>Uma operação sem código fiscal (NCM/CFOP) do tipo esperado não é bloqueada — segue com</w:t>
      </w:r>
    </w:p>
    <w:p>
      <w:r>
        <w:t>alíquota padrão e alerta.</w:t>
      </w:r>
    </w:p>
    <w:p>
      <w:pPr>
        <w:pStyle w:val="ListBullet"/>
      </w:pPr>
      <w:r>
        <w:t>Um código de operação (CFOP) inválido para o sentido da operação (por exemplo, um CFOP de</w:t>
      </w:r>
    </w:p>
    <w:p>
      <w:r>
        <w:t>entrada usado numa nota de saída) bloqueia a emissão.</w:t>
      </w:r>
    </w:p>
    <w:p>
      <w:pPr>
        <w:pStyle w:val="ListBullet"/>
      </w:pPr>
      <w:r>
        <w:t>Uma data de competência fora da faixa coberta pelo cronograma de transição (2026–2033) é</w:t>
      </w:r>
    </w:p>
    <w:p>
      <w:r>
        <w:t>um erro crítico — o cronograma deve cobrir todo esse intervalo.</w:t>
      </w:r>
    </w:p>
    <w:p>
      <w:pPr>
        <w:pStyle w:val="Heading3"/>
      </w:pPr>
      <w:r>
        <w:t>3.9 Telas</w:t>
      </w:r>
    </w:p>
    <w:p>
      <w:pPr>
        <w:pStyle w:val="ListBullet"/>
      </w:pPr>
      <w:r>
        <w:t>Consulta de NCM, código de situação tributária e CFOP (referência, mantida pela equipe da</w:t>
      </w:r>
    </w:p>
    <w:p>
      <w:r>
        <w:t>plataforma — o tenant não edita).</w:t>
      </w:r>
    </w:p>
    <w:p>
      <w:pPr>
        <w:pStyle w:val="ListBullet"/>
      </w:pPr>
      <w:r>
        <w:t>Configuração fiscal da empresa (regime tributário, código de regime, inscrição estadual/</w:t>
      </w:r>
    </w:p>
    <w:p>
      <w:r>
        <w:t>municipal, opção pelo Simples Nacional).</w:t>
      </w:r>
    </w:p>
    <w:p>
      <w:pPr>
        <w:pStyle w:val="ListBullet"/>
      </w:pPr>
      <w:r>
        <w:t>Consulta da apuração mensal (créditos, débitos, saldo a recolher ou saldo credor</w:t>
      </w:r>
    </w:p>
    <w:p>
      <w:r>
        <w:t>acumulado).</w:t>
      </w:r>
    </w:p>
    <w:p>
      <w:pPr>
        <w:pStyle w:val="Heading3"/>
      </w:pPr>
      <w:r>
        <w:t>3.10 Obrigações acessórias — escopo por regime tributário</w:t>
      </w:r>
    </w:p>
    <w:p>
      <w:r>
        <w:rPr>
          <w:b/>
        </w:rPr>
        <w:t>Decisão de escopo:</w:t>
      </w:r>
      <w:r>
        <w:t xml:space="preserve"> o MVP atende tenants optantes pelo </w:t>
      </w:r>
      <w:r>
        <w:rPr>
          <w:b/>
        </w:rPr>
        <w:t>Simples Nacional</w:t>
      </w:r>
      <w:r>
        <w:t xml:space="preserve"> — o público-alvo do produto. O regime tributário do tenant (Simples Nacional, Lucro Presumido ou Lucro Real) é um parâmetro cadastral e é ele quem determina quais obrigações fiscais acessórias e quais retenções na fonte se aplicam a cada tenant. Tenants em Lucro Presumido ou Lucro Real ficam para uma </w:t>
      </w:r>
      <w:r>
        <w:rPr>
          <w:b/>
        </w:rPr>
        <w:t>Fase 2</w:t>
      </w:r>
      <w:r>
        <w:t xml:space="preserve"> do produto.</w:t>
      </w:r>
    </w:p>
    <w:p>
      <w:r>
        <w:t xml:space="preserve">Importante: o ERP </w:t>
      </w:r>
      <w:r>
        <w:rPr>
          <w:b/>
        </w:rPr>
        <w:t>nunca transmite nada diretamente à Receita Federal</w:t>
      </w:r>
      <w:r>
        <w:t xml:space="preserve"> — quem transmite é o contador do tenant, usando os relatórios e os dados que o ERP produz.</w:t>
      </w:r>
    </w:p>
    <w:p>
      <w:r>
        <w:rPr>
          <w:b/>
        </w:rPr>
        <w:t>O que o ERP entrega no MVP (tenant Simples Nacional):</w:t>
      </w:r>
    </w:p>
    <w:p>
      <w:pPr>
        <w:pStyle w:val="ListBullet"/>
      </w:pPr>
      <w:r>
        <w:t xml:space="preserve">Relatório de </w:t>
      </w:r>
      <w:r>
        <w:rPr>
          <w:b/>
        </w:rPr>
        <w:t>receita bruta</w:t>
      </w:r>
      <w:r>
        <w:t xml:space="preserve"> segregada por atividade e por estabelecimento — a base que o</w:t>
      </w:r>
    </w:p>
    <w:p>
      <w:r>
        <w:t>contador usa para preencher o PGDAS-D mensal e a DEFIS anual.</w:t>
      </w:r>
    </w:p>
    <w:p>
      <w:pPr>
        <w:pStyle w:val="ListBullet"/>
      </w:pPr>
      <w:r>
        <w:t xml:space="preserve">Relatório de </w:t>
      </w:r>
      <w:r>
        <w:rPr>
          <w:b/>
        </w:rPr>
        <w:t>retenções e pagamentos</w:t>
      </w:r>
      <w:r>
        <w:t>, por período, por contraparte (fornecedor/prestador),</w:t>
      </w:r>
    </w:p>
    <w:p>
      <w:r>
        <w:t xml:space="preserve">por natureza de rendimento (tabela oficial da Receita) e código de receita derivado dela — a base que o contador usa para a EFD-Reinf. Uma empresa do Simples Nacional é obrigada a declarar a EFD-Reinf sempre que efetua algum tipo de retenção — por exemplo, INSS de 11% ao contratar serviço com cessão de mão de obra, ou IRRF sobre pagamentos a prestadores de serviços profissionais. Atenção: os eventos de pagamentos a pessoas físicas e jurídicas são devidos, nos casos previstos, </w:t>
      </w:r>
      <w:r>
        <w:rPr>
          <w:b/>
        </w:rPr>
        <w:t>mesmo quando não há imposto retido</w:t>
      </w:r>
      <w:r>
        <w:t xml:space="preserve"> (e uma retenção dispensada por ficar abaixo de R$ 10 também é informada) — por isso o relatório lista os pagamentos por natureza de rendimento, e não apenas os que tiveram retenção.</w:t>
      </w:r>
    </w:p>
    <w:p>
      <w:pPr>
        <w:pStyle w:val="ListBullet"/>
      </w:pPr>
      <w:r>
        <w:t xml:space="preserve">O relatório oferece </w:t>
      </w:r>
      <w:r>
        <w:rPr>
          <w:b/>
        </w:rPr>
        <w:t>duas visões de competência</w:t>
      </w:r>
      <w:r>
        <w:t>, porque cada tributo é apurado por uma</w:t>
      </w:r>
    </w:p>
    <w:p>
      <w:r>
        <w:t xml:space="preserve">data diferente: a retenção de INSS é apurada pela data de </w:t>
      </w:r>
      <w:r>
        <w:rPr>
          <w:b/>
        </w:rPr>
        <w:t>emissão da nota fiscal</w:t>
      </w:r>
      <w:r>
        <w:t xml:space="preserve"> do prestador, enquanto a retenção de IR é apurada pela data do </w:t>
      </w:r>
      <w:r>
        <w:rPr>
          <w:b/>
        </w:rPr>
        <w:t>pagamento</w:t>
      </w:r>
      <w:r>
        <w:t>.</w:t>
      </w:r>
    </w:p>
    <w:p>
      <w:r>
        <w:rPr>
          <w:b/>
        </w:rPr>
        <w:t>O que fica fora do MVP e vira Fase 2</w:t>
      </w:r>
      <w:r>
        <w:t xml:space="preserve"> (aplicável a Lucro Presumido/Real): a Escrituração Contábil Digital (ECD/SPED Contábil), a Escrituração Contábil Fiscal (ECF) e a EFD ICMS/IPI (SPED Fiscal). Ainda assim, a fundação contábil do MVP já nasce compatível com essa evolução futura: o Livro Diário é gerado sem lacunas de numeração e o fechamento de período é imutável (ver §7) — pré-requisitos de qualquer SPED contábil. O plano de contas também prevê, desde já, um de-para opcional com o plano de contas referencial da Receita Federal, para que a Fase 2 não exija reclassificar retroativamente nenhuma conta.</w:t>
      </w:r>
    </w:p>
    <w:p>
      <w:r>
        <w:rPr>
          <w:b/>
        </w:rPr>
        <w:t>Regras de retenção por regime do pagador</w:t>
      </w:r>
      <w:r>
        <w:t xml:space="preserve"> — quem retém e o quê depende do regime tributário do próprio tenant (quem paga o fornecedor), não do regime do fornecedor: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RN-MF-017</w:t>
            </w:r>
          </w:p>
        </w:tc>
        <w:tc>
          <w:tcPr>
            <w:tcW w:type="dxa" w:w="4680"/>
          </w:tcPr>
          <w:p>
            <w:r>
              <w:t>Um tenant do Simples Nacional nunca retém PIS, COFINS ou CSLL sobre pagamentos a fornecedores/prestadores — a legislação exclui optantes do Simples dessa retenção.</w:t>
            </w:r>
          </w:p>
        </w:tc>
      </w:tr>
      <w:tr>
        <w:tc>
          <w:tcPr>
            <w:tcW w:type="dxa" w:w="4680"/>
          </w:tcPr>
          <w:p>
            <w:r>
              <w:t>RN-MF-018</w:t>
            </w:r>
          </w:p>
        </w:tc>
        <w:tc>
          <w:tcPr>
            <w:tcW w:type="dxa" w:w="4680"/>
          </w:tcPr>
          <w:p>
            <w:r>
              <w:t>Um tenant do Simples Nacional retém IRRF sobre pagamentos a prestadores de serviços profissionais e retém INSS (11%) quando contrata serviço com cessão de mão de obra — essas retenções exigem declaração posterior via EFD-Reinf, feita pelo contador.</w:t>
            </w:r>
          </w:p>
        </w:tc>
      </w:tr>
      <w:tr>
        <w:tc>
          <w:tcPr>
            <w:tcW w:type="dxa" w:w="4680"/>
          </w:tcPr>
          <w:p>
            <w:r>
              <w:t>RN-MF-019</w:t>
            </w:r>
          </w:p>
        </w:tc>
        <w:tc>
          <w:tcPr>
            <w:tcW w:type="dxa" w:w="4680"/>
          </w:tcPr>
          <w:p>
            <w:r>
              <w:t xml:space="preserve">A matriz de qual tributo é retido para cada combinação de regime tributário do tenant e tipo de serviço é </w:t>
            </w:r>
            <w:r>
              <w:rPr>
                <w:b/>
              </w:rPr>
              <w:t>configuração do sistema</w:t>
            </w:r>
            <w:r>
              <w:t>, não uma regra fixa — permite ajustar quando a legislação mudar ou quando o tenant migrar de regime.</w:t>
            </w:r>
          </w:p>
        </w:tc>
      </w:tr>
    </w:tbl>
    <w:p/>
    <w:p>
      <w:r>
        <w:rPr>
          <w:b/>
        </w:rPr>
        <w:t>Fontes oficiais consultadas:</w:t>
      </w:r>
      <w:r>
        <w:t xml:space="preserve"> a pasta </w:t>
      </w:r>
      <w:r>
        <w:rPr>
          <w:rFonts w:ascii="Consolas" w:hAnsi="Consolas"/>
          <w:sz w:val="19"/>
        </w:rPr>
        <w:t>spec/</w:t>
      </w:r>
      <w:r>
        <w:t xml:space="preserve"> do projeto guarda o manual do usuário da EFD-Reinf (leiaute 2.1.2, ADE Cofis 23/2023, ago/2023) — cobre as regras de negócio citadas acima — e o manual do desenvolvedor (v2.7, out/2025), que só passa a ser relevante se um dia o sistema transmitir declarações diretamente à Receita; hoje o escopo é exportar relatórios para o contador transmitir.</w:t>
      </w:r>
    </w:p>
    <w:p>
      <w:r>
        <w:rPr>
          <w:b/>
        </w:rPr>
        <w:t>Tabelas oficiais como dado, não como regra:</w:t>
      </w:r>
      <w:r>
        <w:t xml:space="preserve"> a natureza de rendimento de cada retenção e o código de receita do DARF que dela deriva vêm de tabelas oficiais da Receita Federal — a Tabela de Naturezas de Rendimento e as tabelas de-para (natureza × tributo × código de receita × periodicidade de recolhimento, cerca de mil combinações, cada uma com vigência de início e fim). O sistema carrega essas tabelas como dados de configuração versionados, e o relatório de retenções deriva o código de receita a partir delas — quando a Receita atualiza a tabela, atualiza-se o dado, não o código do relatório.</w:t>
      </w:r>
    </w:p>
    <w:p>
      <w:r>
        <w:rPr>
          <w:b/>
        </w:rPr>
        <w:t>CNPJ alfanumérico:</w:t>
      </w:r>
      <w:r>
        <w:t xml:space="preserve"> o sistema já trata os dois formatos de CNPJ (numérico e alfanumérico) em cadastro, validação e relatórios. Como o ERP apenas exporta relatórios — quem transmite a EFD-Reinf é o contador —, eventual restrição do leiaute da Receita ao formato alfanumérico é responsabilidade do software transmissor, e não bloqueia o relatório de retenções. A única ressalva remanescente está nos arquivos bancários gerados pelo sistema (CNAB), cujo leiaute padrão ainda define o campo de inscrição como numérico — limitação externa, do padrão bancário, a ser monitorada.</w:t>
      </w:r>
    </w:p>
    <w:p>
      <w:r>
        <w:rPr>
          <w:b/>
        </w:rPr>
        <w:t>Obrigações que não têm papel no módulo Financeiro:</w:t>
      </w:r>
      <w:r>
        <w:t xml:space="preserve"> o ISS do Simples Nacional é recolhido dentro do próprio DAS (guia única do Simples) — não gera nenhuma declaração municipal separada tratada pelo financeiro. A DCTFWeb é uma consequência automática do que já foi declarado via EFD-Reinf/eSocial no portal da Receita — o ERP não participa dessa etapa.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4. Módulo II — Contas a Pagar e Contas a Receber</w:t>
      </w:r>
    </w:p>
    <w:p>
      <w:pPr>
        <w:pStyle w:val="Heading3"/>
      </w:pPr>
      <w:r>
        <w:t>4.1 Objetivo</w:t>
      </w:r>
    </w:p>
    <w:p>
      <w:r>
        <w:t>Gerenciar todo o ciclo de vida de um título financeiro — do lançamento (manual, por nota fiscal, por empréstimo, por parcelamento) até a baixa (pagamento/recebimento), passando por ajustes, prorrogações, adiantamentos, compensações e retenções na fonte.</w:t>
      </w:r>
    </w:p>
    <w:p>
      <w:pPr>
        <w:pStyle w:val="Heading3"/>
      </w:pPr>
      <w:r>
        <w:t>4.2 Conceitos</w:t>
      </w:r>
    </w:p>
    <w:p>
      <w:pPr>
        <w:pStyle w:val="ListBullet"/>
      </w:pPr>
      <w:r>
        <w:rPr>
          <w:b/>
        </w:rPr>
        <w:t>Título</w:t>
      </w:r>
      <w:r>
        <w:t xml:space="preserve"> — a entidade central: um valor a pagar ou a receber, com vencimento, terceiro</w:t>
      </w:r>
    </w:p>
    <w:p>
      <w:r>
        <w:t>(fornecedor, cliente, funcionário ou outro), origem (lançamento manual, nota fiscal, empréstimo, parcelamento, apuração fiscal, entre outras) e um "saldo" que só existe enquanto o título não estiver totalmente baixado.</w:t>
      </w:r>
    </w:p>
    <w:p>
      <w:pPr>
        <w:pStyle w:val="ListBullet"/>
      </w:pPr>
      <w:r>
        <w:rPr>
          <w:b/>
        </w:rPr>
        <w:t>Baixa</w:t>
      </w:r>
      <w:r>
        <w:t xml:space="preserve"> — o registro de um pagamento ou recebimento (total ou parcial) de um título. Uma</w:t>
      </w:r>
    </w:p>
    <w:p>
      <w:r>
        <w:t xml:space="preserve">baixa pode nascer </w:t>
      </w:r>
      <w:r>
        <w:rPr>
          <w:b/>
        </w:rPr>
        <w:t>planejada</w:t>
      </w:r>
      <w:r>
        <w:t xml:space="preserve"> (ainda não confirmada — por exemplo, um boleto emitido mas ainda não compensado) ou já </w:t>
      </w:r>
      <w:r>
        <w:rPr>
          <w:b/>
        </w:rPr>
        <w:t>real</w:t>
      </w:r>
      <w:r>
        <w:t xml:space="preserve"> (confirmada, com efeito imediato sobre o saldo do título).</w:t>
      </w:r>
    </w:p>
    <w:p>
      <w:pPr>
        <w:pStyle w:val="ListBullet"/>
      </w:pPr>
      <w:r>
        <w:rPr>
          <w:b/>
        </w:rPr>
        <w:t>Ajuste</w:t>
      </w:r>
      <w:r>
        <w:t xml:space="preserve"> — um acréscimo (multa, juros de mora) ou desconto aplicado a um título, sempre</w:t>
      </w:r>
    </w:p>
    <w:p>
      <w:r>
        <w:t>vinculado a um tipo de ajuste configurável.</w:t>
      </w:r>
    </w:p>
    <w:p>
      <w:pPr>
        <w:pStyle w:val="ListBullet"/>
      </w:pPr>
      <w:r>
        <w:rPr>
          <w:b/>
        </w:rPr>
        <w:t>Forma de pagamento</w:t>
      </w:r>
      <w:r>
        <w:t xml:space="preserve"> — a regra usada para calcular a data de vencimento de um título a</w:t>
      </w:r>
    </w:p>
    <w:p>
      <w:r>
        <w:t>partir da data de emissão ou de saída da mercadoria, considerando ou não dias úteis.</w:t>
      </w:r>
    </w:p>
    <w:p>
      <w:pPr>
        <w:pStyle w:val="ListBullet"/>
      </w:pPr>
      <w:r>
        <w:rPr>
          <w:b/>
        </w:rPr>
        <w:t>Bloqueio (hold)</w:t>
      </w:r>
      <w:r>
        <w:t xml:space="preserve"> — um título pode ser bloqueado manualmente para pagamento; enquanto</w:t>
      </w:r>
    </w:p>
    <w:p>
      <w:r>
        <w:t>bloqueado, não aceita baixa e não entra em nenhuma remessa de pagamento.</w:t>
      </w:r>
    </w:p>
    <w:p>
      <w:pPr>
        <w:pStyle w:val="ListBullet"/>
      </w:pPr>
      <w:r>
        <w:rPr>
          <w:b/>
        </w:rPr>
        <w:t>Adiantamento</w:t>
      </w:r>
      <w:r>
        <w:t xml:space="preserve"> — um valor pago (ou recebido) antecipadamente a um fornecedor/cliente,</w:t>
      </w:r>
    </w:p>
    <w:p>
      <w:r>
        <w:t>que fica disponível como saldo para ser usado como forma de baixa em títulos futuros daquele mesmo terceiro.</w:t>
      </w:r>
    </w:p>
    <w:p>
      <w:pPr>
        <w:pStyle w:val="ListBullet"/>
      </w:pPr>
      <w:r>
        <w:rPr>
          <w:b/>
        </w:rPr>
        <w:t>Compensação (netting)</w:t>
      </w:r>
      <w:r>
        <w:t xml:space="preserve"> — o encontro de contas entre um título a pagar e um título a</w:t>
      </w:r>
    </w:p>
    <w:p>
      <w:r>
        <w:t>receber da mesma pessoa (mesmo CNPJ/CPF, considerando que cliente e fornecedor do mesmo grupo econômico são identificados como a mesma "pessoa" no cadastro), reduzindo ou quitando ambos sem movimentar caixa.</w:t>
      </w:r>
    </w:p>
    <w:p>
      <w:pPr>
        <w:pStyle w:val="ListBullet"/>
      </w:pPr>
      <w:r>
        <w:rPr>
          <w:b/>
        </w:rPr>
        <w:t>Empréstimo/leasing</w:t>
      </w:r>
      <w:r>
        <w:t xml:space="preserve"> — um contrato de financiamento que, ao ser confirmado, gera</w:t>
      </w:r>
    </w:p>
    <w:p>
      <w:r>
        <w:t>automaticamente as parcelas como títulos a pagar.</w:t>
      </w:r>
    </w:p>
    <w:p>
      <w:pPr>
        <w:pStyle w:val="ListBullet"/>
      </w:pPr>
      <w:r>
        <w:rPr>
          <w:b/>
        </w:rPr>
        <w:t>Retenção na fonte</w:t>
      </w:r>
      <w:r>
        <w:t xml:space="preserve"> — parte do valor de um título de serviço que não é paga ao</w:t>
      </w:r>
    </w:p>
    <w:p>
      <w:r>
        <w:t>fornecedor, mas retida pelo tenant para recolhimento de tributos (IRRF, contribuições previdenciárias, ISS, entre outros) diretamente ao órgão arrecadador.</w:t>
      </w:r>
    </w:p>
    <w:p>
      <w:pPr>
        <w:pStyle w:val="ListBullet"/>
      </w:pPr>
      <w:r>
        <w:rPr>
          <w:b/>
        </w:rPr>
        <w:t>Dunning (régua de cobrança)</w:t>
      </w:r>
      <w:r>
        <w:t xml:space="preserve"> — sequência automática de ações de cobrança disparadas</w:t>
      </w:r>
    </w:p>
    <w:p>
      <w:r>
        <w:t>conforme os dias de atraso de um título a receber.</w:t>
      </w:r>
    </w:p>
    <w:p>
      <w:pPr>
        <w:pStyle w:val="Heading3"/>
      </w:pPr>
      <w:r>
        <w:t>4.3 Ciclo de vida do título</w:t>
      </w:r>
    </w:p>
    <w:p>
      <w:r>
        <w:t xml:space="preserve">Um título nasce </w:t>
      </w:r>
      <w:r>
        <w:rPr>
          <w:b/>
        </w:rPr>
        <w:t>previsto</w:t>
      </w:r>
      <w:r>
        <w:t xml:space="preserve"> (ainda não confirmado) ou </w:t>
      </w:r>
      <w:r>
        <w:rPr>
          <w:b/>
        </w:rPr>
        <w:t>em aberto</w:t>
      </w:r>
      <w:r>
        <w:t xml:space="preserve"> (confirmado, aguardando pagamento). A partir de "em aberto", pode ser </w:t>
      </w:r>
      <w:r>
        <w:rPr>
          <w:b/>
        </w:rPr>
        <w:t>emitido</w:t>
      </w:r>
      <w:r>
        <w:t xml:space="preserve"> (no caso de contas a receber, ao gerar boleto/cobrança), </w:t>
      </w:r>
      <w:r>
        <w:rPr>
          <w:b/>
        </w:rPr>
        <w:t>descontado</w:t>
      </w:r>
      <w:r>
        <w:t xml:space="preserve"> (antecipação de recebível), </w:t>
      </w:r>
      <w:r>
        <w:rPr>
          <w:b/>
        </w:rPr>
        <w:t>baixado</w:t>
      </w:r>
      <w:r>
        <w:t xml:space="preserve"> (quando o saldo chega a zero) ou </w:t>
      </w:r>
      <w:r>
        <w:rPr>
          <w:b/>
        </w:rPr>
        <w:t>cancelado</w:t>
      </w:r>
      <w:r>
        <w:t xml:space="preserve">. Um título com qualquer baixa </w:t>
      </w:r>
      <w:r>
        <w:rPr>
          <w:b/>
        </w:rPr>
        <w:t>confirmada</w:t>
      </w:r>
      <w:r>
        <w:t xml:space="preserve"> não pode mais ser cancelado — apenas estornado. Um título bloqueado não aceita nenhuma baixa nem entra em remessa de pagamento até ser desbloqueado.</w:t>
      </w:r>
    </w:p>
    <w:p>
      <w:r>
        <w:t xml:space="preserve">Uma baixa nasce </w:t>
      </w:r>
      <w:r>
        <w:rPr>
          <w:b/>
        </w:rPr>
        <w:t>planejada</w:t>
      </w:r>
      <w:r>
        <w:t xml:space="preserve"> e passa a </w:t>
      </w:r>
      <w:r>
        <w:rPr>
          <w:b/>
        </w:rPr>
        <w:t>real</w:t>
      </w:r>
      <w:r>
        <w:t xml:space="preserve"> quando confirmada (por exemplo, quando a conciliação bancária confirma que o dinheiro efetivamente entrou/saiu da conta). Uma baixa real não pode ser cancelada diretamente — apenas revertida por meio de um </w:t>
      </w:r>
      <w:r>
        <w:rPr>
          <w:b/>
        </w:rPr>
        <w:t>estorno</w:t>
      </w:r>
      <w:r>
        <w:t xml:space="preserve"> (ver RN-AP-011). Uma baixa planejada, ao contrário, pode ser cancelada livremente, devolvendo o saldo ao título.</w:t>
      </w:r>
    </w:p>
    <w:p>
      <w:pPr>
        <w:pStyle w:val="Heading3"/>
      </w:pPr>
      <w:r>
        <w:t>4.4 Regras de Negócio — Contas a Pagar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RN-AP-001</w:t>
            </w:r>
          </w:p>
        </w:tc>
        <w:tc>
          <w:tcPr>
            <w:tcW w:type="dxa" w:w="4680"/>
          </w:tcPr>
          <w:p>
            <w:r>
              <w:t>Um lançamento manual de título só é permitido para tipos de título habilitados explicitamente para lançamento manual.</w:t>
            </w:r>
          </w:p>
        </w:tc>
      </w:tr>
      <w:tr>
        <w:tc>
          <w:tcPr>
            <w:tcW w:type="dxa" w:w="4680"/>
          </w:tcPr>
          <w:p>
            <w:r>
              <w:t>RN-AP-002</w:t>
            </w:r>
          </w:p>
        </w:tc>
        <w:tc>
          <w:tcPr>
            <w:tcW w:type="dxa" w:w="4680"/>
          </w:tcPr>
          <w:p>
            <w:r>
              <w:t>Um título com status Baixado ou Cancelado não aceita nenhuma edição.</w:t>
            </w:r>
          </w:p>
        </w:tc>
      </w:tr>
      <w:tr>
        <w:tc>
          <w:tcPr>
            <w:tcW w:type="dxa" w:w="4680"/>
          </w:tcPr>
          <w:p>
            <w:r>
              <w:t>RN-AP-003</w:t>
            </w:r>
          </w:p>
        </w:tc>
        <w:tc>
          <w:tcPr>
            <w:tcW w:type="dxa" w:w="4680"/>
          </w:tcPr>
          <w:p>
            <w:r>
              <w:t>Um título com alguma baixa confirmada (real) não pode ser cancelado — só pode ser estornado.</w:t>
            </w:r>
          </w:p>
        </w:tc>
      </w:tr>
      <w:tr>
        <w:tc>
          <w:tcPr>
            <w:tcW w:type="dxa" w:w="4680"/>
          </w:tcPr>
          <w:p>
            <w:r>
              <w:t>RN-AP-004</w:t>
            </w:r>
          </w:p>
        </w:tc>
        <w:tc>
          <w:tcPr>
            <w:tcW w:type="dxa" w:w="4680"/>
          </w:tcPr>
          <w:p>
            <w:r>
              <w:t>A soma dos descontos aplicados a um título nunca pode ultrapassar o valor original somado aos acréscimos.</w:t>
            </w:r>
          </w:p>
        </w:tc>
      </w:tr>
      <w:tr>
        <w:tc>
          <w:tcPr>
            <w:tcW w:type="dxa" w:w="4680"/>
          </w:tcPr>
          <w:p>
            <w:r>
              <w:t>RN-AP-005</w:t>
            </w:r>
          </w:p>
        </w:tc>
        <w:tc>
          <w:tcPr>
            <w:tcW w:type="dxa" w:w="4680"/>
          </w:tcPr>
          <w:p>
            <w:r>
              <w:t>Uma prorrogação de vencimento só é aceita se a nova data for posterior à data de vencimento atual.</w:t>
            </w:r>
          </w:p>
        </w:tc>
      </w:tr>
      <w:tr>
        <w:tc>
          <w:tcPr>
            <w:tcW w:type="dxa" w:w="4680"/>
          </w:tcPr>
          <w:p>
            <w:r>
              <w:t>RN-AP-006</w:t>
            </w:r>
          </w:p>
        </w:tc>
        <w:tc>
          <w:tcPr>
            <w:tcW w:type="dxa" w:w="4680"/>
          </w:tcPr>
          <w:p>
            <w:r>
              <w:t>Ao parcelar um título, o título original é cancelado e são criados tantos novos títulos quanto o número de parcelas definido; a soma das novas parcelas deve ser igual ao valor líquido do título original.</w:t>
            </w:r>
          </w:p>
        </w:tc>
      </w:tr>
      <w:tr>
        <w:tc>
          <w:tcPr>
            <w:tcW w:type="dxa" w:w="4680"/>
          </w:tcPr>
          <w:p>
            <w:r>
              <w:t>RN-AP-007</w:t>
            </w:r>
          </w:p>
        </w:tc>
        <w:tc>
          <w:tcPr>
            <w:tcW w:type="dxa" w:w="4680"/>
          </w:tcPr>
          <w:p>
            <w:r>
              <w:t>O saldo de adiantamento é individual por fornecedor (ou cliente) — não pode ser usado para baixar título de um terceiro diferente daquele que originou o adiantamento.</w:t>
            </w:r>
          </w:p>
        </w:tc>
      </w:tr>
      <w:tr>
        <w:tc>
          <w:tcPr>
            <w:tcW w:type="dxa" w:w="4680"/>
          </w:tcPr>
          <w:p>
            <w:r>
              <w:t>RN-AP-008</w:t>
            </w:r>
          </w:p>
        </w:tc>
        <w:tc>
          <w:tcPr>
            <w:tcW w:type="dxa" w:w="4680"/>
          </w:tcPr>
          <w:p>
            <w:r>
              <w:t>Ao confirmar um empréstimo/leasing, o sistema gera automaticamente as parcelas como novos títulos a pagar, calculadas conforme o tipo de amortização escolhido (parcela fixa com juros embutidos, amortização constante com juros decrescentes, ou valores definidos manualmente).</w:t>
            </w:r>
          </w:p>
        </w:tc>
      </w:tr>
      <w:tr>
        <w:tc>
          <w:tcPr>
            <w:tcW w:type="dxa" w:w="4680"/>
          </w:tcPr>
          <w:p>
            <w:r>
              <w:t>RN-AP-009</w:t>
            </w:r>
          </w:p>
        </w:tc>
        <w:tc>
          <w:tcPr>
            <w:tcW w:type="dxa" w:w="4680"/>
          </w:tcPr>
          <w:p>
            <w:r>
              <w:t xml:space="preserve">Uma baixa </w:t>
            </w:r>
            <w:r>
              <w:rPr>
                <w:b/>
              </w:rPr>
              <w:t>planejada</w:t>
            </w:r>
            <w:r>
              <w:t xml:space="preserve"> não reduz o saldo do título — só a confirmação (baixa </w:t>
            </w:r>
            <w:r>
              <w:rPr>
                <w:b/>
              </w:rPr>
              <w:t>real</w:t>
            </w:r>
            <w:r>
              <w:t>) reduz o saldo e, se zerar, muda o status do título para Baixado.</w:t>
            </w:r>
          </w:p>
        </w:tc>
      </w:tr>
      <w:tr>
        <w:tc>
          <w:tcPr>
            <w:tcW w:type="dxa" w:w="4680"/>
          </w:tcPr>
          <w:p>
            <w:r>
              <w:t>RN-AP-010</w:t>
            </w:r>
          </w:p>
        </w:tc>
        <w:tc>
          <w:tcPr>
            <w:tcW w:type="dxa" w:w="4680"/>
          </w:tcPr>
          <w:p>
            <w:r>
              <w:t>Não é permitida uma baixa cujo valor ultrapasse o saldo disponível do título.</w:t>
            </w:r>
          </w:p>
        </w:tc>
      </w:tr>
      <w:tr>
        <w:tc>
          <w:tcPr>
            <w:tcW w:type="dxa" w:w="4680"/>
          </w:tcPr>
          <w:p>
            <w:r>
              <w:t>RN-AP-011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Estorno de baixa confirmada:</w:t>
            </w:r>
            <w:r>
              <w:t xml:space="preserve"> uma baixa já confirmada pode ser estornada — isso cria um novo registro de baixa (não apaga a baixa original), com valor invertido, que devolve o saldo ao título (voltando de Baixado para Em Aberto, se for o caso). Uma baixa de estorno não pode, por sua vez, ser estornada novamente.</w:t>
            </w:r>
          </w:p>
        </w:tc>
      </w:tr>
      <w:tr>
        <w:tc>
          <w:tcPr>
            <w:tcW w:type="dxa" w:w="4680"/>
          </w:tcPr>
          <w:p>
            <w:r>
              <w:t>RN-AP-012</w:t>
            </w:r>
          </w:p>
        </w:tc>
        <w:tc>
          <w:tcPr>
            <w:tcW w:type="dxa" w:w="4680"/>
          </w:tcPr>
          <w:p>
            <w:r>
              <w:t>Ao baixar um título em atraso, o sistema sugere automaticamente os valores de multa (percentual configurável, padrão 2%) e mora (percentual mensal configurável, calculado proporcionalmente aos dias de atraso, padrão 1% ao mês) — o operador pode aceitar ou ajustar antes de confirmar.</w:t>
            </w:r>
          </w:p>
        </w:tc>
      </w:tr>
      <w:tr>
        <w:tc>
          <w:tcPr>
            <w:tcW w:type="dxa" w:w="4680"/>
          </w:tcPr>
          <w:p>
            <w:r>
              <w:t>RN-AP-013</w:t>
            </w:r>
          </w:p>
        </w:tc>
        <w:tc>
          <w:tcPr>
            <w:tcW w:type="dxa" w:w="4680"/>
          </w:tcPr>
          <w:p>
            <w:r>
              <w:t>Um título com uso de adiantamento é baixado pelo valor do adiantamento utilizado — sem criar, adicionalmente, um desconto pelo mesmo valor (isso evitaria contar o abatimento duas vezes e reduziria o saldo além do correto).</w:t>
            </w:r>
          </w:p>
        </w:tc>
      </w:tr>
      <w:tr>
        <w:tc>
          <w:tcPr>
            <w:tcW w:type="dxa" w:w="4680"/>
          </w:tcPr>
          <w:p>
            <w:r>
              <w:t>RN-AP-014</w:t>
            </w:r>
          </w:p>
        </w:tc>
        <w:tc>
          <w:tcPr>
            <w:tcW w:type="dxa" w:w="4680"/>
          </w:tcPr>
          <w:p>
            <w:r>
              <w:t>Retenções na fonte aplicadas a um título de serviço reduzem o valor líquido efetivamente pago ao fornecedor; o valor retido não é recolhido ao fornecedor — vira uma obrigação do tenant perante o órgão arrecadador correspondente, agrupada mensalmente em uma guia de recolhimento por tributo.</w:t>
            </w:r>
          </w:p>
        </w:tc>
      </w:tr>
      <w:tr>
        <w:tc>
          <w:tcPr>
            <w:tcW w:type="dxa" w:w="4680"/>
          </w:tcPr>
          <w:p>
            <w:r>
              <w:t>RN-AP-015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Trava de competência retroativa</w:t>
            </w:r>
            <w:r>
              <w:t xml:space="preserve"> (vale para contas a pagar e a receber): alterar a data de competência ou de emissão de um título, ou emitir/baixar um título retroativamente, caindo num período contábil já fechado é bloqueado — mesmo para um usuário administrador. A correção é feita por um lançamento de ajuste na competência aberta atual; o período fechado permanece imutável (ver §7, período contábil).</w:t>
            </w:r>
          </w:p>
        </w:tc>
      </w:tr>
      <w:tr>
        <w:tc>
          <w:tcPr>
            <w:tcW w:type="dxa" w:w="4680"/>
          </w:tcPr>
          <w:p>
            <w:r>
              <w:t>RN-AP-016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Devolução de adiantamento</w:t>
            </w:r>
            <w:r>
              <w:t xml:space="preserve"> (vale para adiantamento de fornecedor e de cliente): quando o terceiro pede de volta um saldo adiantado e não consumido, o sistema gera um título de natureza </w:t>
            </w:r>
            <w:r>
              <w:rPr>
                <w:b/>
              </w:rPr>
              <w:t>inversa</w:t>
            </w:r>
            <w:r>
              <w:t xml:space="preserve"> pelo valor devolvido (adiantamento recebido de cliente → título a pagar; adiantamento pago a fornecedor → título a receber). O valor devolvido deixa de estar disponível </w:t>
            </w:r>
            <w:r>
              <w:rPr>
                <w:b/>
              </w:rPr>
              <w:t>no momento do pedido de devolução</w:t>
            </w:r>
            <w:r>
              <w:t xml:space="preserve"> — não na baixa do título —, impedindo que o mesmo saldo seja usado em outra baixa enquanto a devolução está em aberto. Cancelar a devolução (antes de qualquer pagamento efetivo) devolve o valor ao saldo.</w:t>
            </w:r>
          </w:p>
        </w:tc>
      </w:tr>
    </w:tbl>
    <w:p/>
    <w:p>
      <w:pPr>
        <w:pStyle w:val="Heading3"/>
      </w:pPr>
      <w:r>
        <w:t>4.5 Regras de Negócio — Contas a Receber</w:t>
      </w:r>
    </w:p>
    <w:p>
      <w:r>
        <w:t>Contas a Receber compartilha as mesmas operações de lançamento, ajuste, prorrogação, parcelamento, baixa e estorno descritas acima. As regras específicas são: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RN-AR-001</w:t>
            </w:r>
          </w:p>
        </w:tc>
        <w:tc>
          <w:tcPr>
            <w:tcW w:type="dxa" w:w="4680"/>
          </w:tcPr>
          <w:p>
            <w:r>
              <w:t>Um título de recebimento, ao ser "emitido" (preparado para cobrança — geração de boleto/linha digitável), fica bloqueado para edição enquanto estiver nesse status.</w:t>
            </w:r>
          </w:p>
        </w:tc>
      </w:tr>
      <w:tr>
        <w:tc>
          <w:tcPr>
            <w:tcW w:type="dxa" w:w="4680"/>
          </w:tcPr>
          <w:p>
            <w:r>
              <w:t>RN-AR-002</w:t>
            </w:r>
          </w:p>
        </w:tc>
        <w:tc>
          <w:tcPr>
            <w:tcW w:type="dxa" w:w="4680"/>
          </w:tcPr>
          <w:p>
            <w:r>
              <w:t>Renegociar um título a receber cancela o título original e cria um novo com os termos renegociados (novo vencimento, novo valor, possíveis acréscimos/descontos).</w:t>
            </w:r>
          </w:p>
        </w:tc>
      </w:tr>
      <w:tr>
        <w:tc>
          <w:tcPr>
            <w:tcW w:type="dxa" w:w="4680"/>
          </w:tcPr>
          <w:p>
            <w:r>
              <w:t>RN-AR-003</w:t>
            </w:r>
          </w:p>
        </w:tc>
        <w:tc>
          <w:tcPr>
            <w:tcW w:type="dxa" w:w="4680"/>
          </w:tcPr>
          <w:p>
            <w:r>
              <w:t>Uma carta de cobrança só pode ser enviada para títulos já vencidos.</w:t>
            </w:r>
          </w:p>
        </w:tc>
      </w:tr>
      <w:tr>
        <w:tc>
          <w:tcPr>
            <w:tcW w:type="dxa" w:w="4680"/>
          </w:tcPr>
          <w:p>
            <w:r>
              <w:t>RN-AR-004</w:t>
            </w:r>
          </w:p>
        </w:tc>
        <w:tc>
          <w:tcPr>
            <w:tcW w:type="dxa" w:w="4680"/>
          </w:tcPr>
          <w:p>
            <w:r>
              <w:t>O desconto de um título (antecipação de recebível junto ao banco) só é permitido para títulos já emitidos.</w:t>
            </w:r>
          </w:p>
        </w:tc>
      </w:tr>
      <w:tr>
        <w:tc>
          <w:tcPr>
            <w:tcW w:type="dxa" w:w="4680"/>
          </w:tcPr>
          <w:p>
            <w:r>
              <w:t>RN-AR-005</w:t>
            </w:r>
          </w:p>
        </w:tc>
        <w:tc>
          <w:tcPr>
            <w:tcW w:type="dxa" w:w="4680"/>
          </w:tcPr>
          <w:p>
            <w:r>
              <w:t>O adiantamento recebido de um cliente segue a mesma lógica do adiantamento a fornecedor: fica disponível como saldo para baixar títulos futuros daquele mesmo cliente.</w:t>
            </w:r>
          </w:p>
        </w:tc>
      </w:tr>
      <w:tr>
        <w:tc>
          <w:tcPr>
            <w:tcW w:type="dxa" w:w="4680"/>
          </w:tcPr>
          <w:p>
            <w:r>
              <w:t>RN-AR-006</w:t>
            </w:r>
          </w:p>
        </w:tc>
        <w:tc>
          <w:tcPr>
            <w:tcW w:type="dxa" w:w="4680"/>
          </w:tcPr>
          <w:p>
            <w:r>
              <w:t>Uma retenção sofrida do cliente (quando o próprio cliente retém parte do pagamento por obrigação legal) é registrada como uma baixa parcial "por retenção" — o caixa nunca chega a receber esse valor; ele vira um crédito tributário a recuperar.</w:t>
            </w:r>
          </w:p>
        </w:tc>
      </w:tr>
      <w:tr>
        <w:tc>
          <w:tcPr>
            <w:tcW w:type="dxa" w:w="4680"/>
          </w:tcPr>
          <w:p>
            <w:r>
              <w:t>RN-AR-007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Recebimento quitando vários títulos (N-para-1):</w:t>
            </w:r>
            <w:r>
              <w:t xml:space="preserve"> um único pagamento do cliente que cobre vários títulos gera uma baixa por título, alocando o valor recebido por ordem de vencimento (o mais antigo primeiro). Juros, mora, multa e desconto são calculados individualmente por título, sobre o saldo de cada um na data do recebimento. Se sobrar valor depois de quitar todos os títulos elegíveis, a sobra vira crédito/adiantamento do cliente (RN-AR-005).</w:t>
            </w:r>
          </w:p>
        </w:tc>
      </w:tr>
      <w:tr>
        <w:tc>
          <w:tcPr>
            <w:tcW w:type="dxa" w:w="4680"/>
          </w:tcPr>
          <w:p>
            <w:r>
              <w:t>RN-AR-008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Baixas parciais sucessivas (1-para-N):</w:t>
            </w:r>
            <w:r>
              <w:t xml:space="preserve"> cada baixa parcial recalcula juros e mora sobre o saldo residual do título na data daquela baixa (não sobre o valor original) — o título só passa a Baixado quando o saldo chega a zero.</w:t>
            </w:r>
          </w:p>
        </w:tc>
      </w:tr>
    </w:tbl>
    <w:p/>
    <w:p>
      <w:pPr>
        <w:pStyle w:val="Heading3"/>
      </w:pPr>
      <w:r>
        <w:t>4.6 Régua de cobrança automática (Dunning)</w:t>
      </w:r>
    </w:p>
    <w:p>
      <w:r>
        <w:t>Título a receber vencido entra automaticamente em uma régua de cobrança, com etapas configuráveis por empresa (valores abaixo são o padrão sugerido):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Quando dispara (após o vencimento)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 dia</w:t>
            </w:r>
          </w:p>
        </w:tc>
        <w:tc>
          <w:tcPr>
            <w:tcW w:type="dxa" w:w="3120"/>
          </w:tcPr>
          <w:p>
            <w:r>
              <w:t>E-mail amigável, com 2ª via do boleto.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7 dias</w:t>
            </w:r>
          </w:p>
        </w:tc>
        <w:tc>
          <w:tcPr>
            <w:tcW w:type="dxa" w:w="3120"/>
          </w:tcPr>
          <w:p>
            <w:r>
              <w:t>E-mail mais firme, com o valor já atualizado (juros e multa).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15 dias</w:t>
            </w:r>
          </w:p>
        </w:tc>
        <w:tc>
          <w:tcPr>
            <w:tcW w:type="dxa" w:w="3120"/>
          </w:tcPr>
          <w:p>
            <w:r>
              <w:t>Cliente marcado como bloqueado para novas vendas (sinalização para o futuro módulo de pedidos consumir).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30 dias</w:t>
            </w:r>
          </w:p>
        </w:tc>
        <w:tc>
          <w:tcPr>
            <w:tcW w:type="dxa" w:w="3120"/>
          </w:tcPr>
          <w:p>
            <w:r>
              <w:t>Escalado para o time de crédito — abre um caso de cobrança manual em uma fila de trabalho.</w:t>
            </w:r>
          </w:p>
        </w:tc>
      </w:tr>
    </w:tbl>
    <w:p/>
    <w:p>
      <w:r>
        <w:t>Regras da régua: um título baixado, cancelado, bloqueado ou em processo de renegociação sai da régua automaticamente. O pagamento em qualquer etapa encerra a sequência. O envio manual de carta de cobrança continua disponível a qualquer momento, independentemente da régua automática.</w:t>
      </w:r>
    </w:p>
    <w:p>
      <w:pPr>
        <w:pStyle w:val="Heading3"/>
      </w:pPr>
      <w:r>
        <w:t>4.7 Compensação entre contas (Netting)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RN-CO-001</w:t>
            </w:r>
          </w:p>
        </w:tc>
        <w:tc>
          <w:tcPr>
            <w:tcW w:type="dxa" w:w="4680"/>
          </w:tcPr>
          <w:p>
            <w:r>
              <w:t xml:space="preserve">Um título a pagar só pode ser compensado com um título a receber da </w:t>
            </w:r>
            <w:r>
              <w:rPr>
                <w:b/>
              </w:rPr>
              <w:t>mesma pessoa</w:t>
            </w:r>
            <w:r>
              <w:t xml:space="preserve"> (mesmo CNPJ/CPF — inclusive quando cliente e fornecedor pertencem ao mesmo grupo econômico e são reconhecidos como a mesma pessoa no cadastro). Compensação exige que ambos os títulos tenham essa identificação de pessoa preenchida.</w:t>
            </w:r>
          </w:p>
        </w:tc>
      </w:tr>
      <w:tr>
        <w:tc>
          <w:tcPr>
            <w:tcW w:type="dxa" w:w="4680"/>
          </w:tcPr>
          <w:p>
            <w:r>
              <w:t>RN-CO-002</w:t>
            </w:r>
          </w:p>
        </w:tc>
        <w:tc>
          <w:tcPr>
            <w:tcW w:type="dxa" w:w="4680"/>
          </w:tcPr>
          <w:p>
            <w:r>
              <w:t>O valor compensado nunca pode ultrapassar o menor saldo entre os dois títulos envolvidos.</w:t>
            </w:r>
          </w:p>
        </w:tc>
      </w:tr>
      <w:tr>
        <w:tc>
          <w:tcPr>
            <w:tcW w:type="dxa" w:w="4680"/>
          </w:tcPr>
          <w:p>
            <w:r>
              <w:t>RN-CO-003</w:t>
            </w:r>
          </w:p>
        </w:tc>
        <w:tc>
          <w:tcPr>
            <w:tcW w:type="dxa" w:w="4680"/>
          </w:tcPr>
          <w:p>
            <w:r>
              <w:t>Uma compensação parcial mantém saldo em aberto nos dois títulos, proporcionalmente ao que sobrou.</w:t>
            </w:r>
          </w:p>
        </w:tc>
      </w:tr>
      <w:tr>
        <w:tc>
          <w:tcPr>
            <w:tcW w:type="dxa" w:w="4680"/>
          </w:tcPr>
          <w:p>
            <w:r>
              <w:t>RN-CO-004</w:t>
            </w:r>
          </w:p>
        </w:tc>
        <w:tc>
          <w:tcPr>
            <w:tcW w:type="dxa" w:w="4680"/>
          </w:tcPr>
          <w:p>
            <w:r>
              <w:t>Uma compensação só pode ser cancelada enquanto ainda estiver pendente de confirmação — depois de confirmada, não pode mais ser desfeita diretamente.</w:t>
            </w:r>
          </w:p>
        </w:tc>
      </w:tr>
      <w:tr>
        <w:tc>
          <w:tcPr>
            <w:tcW w:type="dxa" w:w="4680"/>
          </w:tcPr>
          <w:p>
            <w:r>
              <w:t>RN-CO-005</w:t>
            </w:r>
          </w:p>
        </w:tc>
        <w:tc>
          <w:tcPr>
            <w:tcW w:type="dxa" w:w="4680"/>
          </w:tcPr>
          <w:p>
            <w:r>
              <w:t>Um mesmo título só pode ter uma compensação pendente por vez.</w:t>
            </w:r>
          </w:p>
        </w:tc>
      </w:tr>
    </w:tbl>
    <w:p/>
    <w:p>
      <w:r>
        <w:t xml:space="preserve">Diariamente, o sistema identifica automaticamente terceiros que têm títulos em aberto tanto a pagar quanto a receber e </w:t>
      </w:r>
      <w:r>
        <w:rPr>
          <w:b/>
        </w:rPr>
        <w:t>sugere</w:t>
      </w:r>
      <w:r>
        <w:t xml:space="preserve"> a compensação ao operador — nenhuma compensação é criada automaticamente sem confirmação humana.</w:t>
      </w:r>
    </w:p>
    <w:p>
      <w:pPr>
        <w:pStyle w:val="Heading3"/>
      </w:pPr>
      <w:r>
        <w:t>4.8 Fluxo — Lançamento e baixa de um título (visão passo a passo)</w:t>
      </w:r>
    </w:p>
    <w:p>
      <w:pPr>
        <w:pStyle w:val="ListNumber"/>
      </w:pPr>
      <w:r>
        <w:rPr>
          <w:b/>
        </w:rPr>
        <w:t>Origem:</w:t>
      </w:r>
      <w:r>
        <w:t xml:space="preserve"> o título nasce de uma nota fiscal aprovada, de um lançamento manual, de um</w:t>
      </w:r>
    </w:p>
    <w:p>
      <w:r>
        <w:t>empréstimo confirmado ou de um parcelamento/renegociação.</w:t>
      </w:r>
    </w:p>
    <w:p>
      <w:pPr>
        <w:pStyle w:val="ListNumber"/>
      </w:pPr>
      <w:r>
        <w:rPr>
          <w:b/>
        </w:rPr>
        <w:t>Vencimento:</w:t>
      </w:r>
      <w:r>
        <w:t xml:space="preserve"> se não informado diretamente, é calculado pela forma de pagamento</w:t>
      </w:r>
    </w:p>
    <w:p>
      <w:r>
        <w:t>configurada (considerando ou não dias úteis).</w:t>
      </w:r>
    </w:p>
    <w:p>
      <w:pPr>
        <w:pStyle w:val="ListNumber"/>
      </w:pPr>
      <w:r>
        <w:rPr>
          <w:b/>
        </w:rPr>
        <w:t>Ajustes</w:t>
      </w:r>
      <w:r>
        <w:t xml:space="preserve"> (opcional): acréscimos (multa, juros) ou descontos podem ser aplicados</w:t>
      </w:r>
    </w:p>
    <w:p>
      <w:r>
        <w:t>enquanto o título estiver em aberto.</w:t>
      </w:r>
    </w:p>
    <w:p>
      <w:pPr>
        <w:pStyle w:val="ListNumber"/>
      </w:pPr>
      <w:r>
        <w:rPr>
          <w:b/>
        </w:rPr>
        <w:t>Aprovação por alçada</w:t>
      </w:r>
      <w:r>
        <w:t xml:space="preserve"> (se aplicável): pagamentos que se enquadrem em uma faixa</w:t>
      </w:r>
    </w:p>
    <w:p>
      <w:r>
        <w:t>configurada para exigir aprovação ficam retidos até a decisão do aprovador.</w:t>
      </w:r>
    </w:p>
    <w:p>
      <w:pPr>
        <w:pStyle w:val="ListNumber"/>
      </w:pPr>
      <w:r>
        <w:rPr>
          <w:b/>
        </w:rPr>
        <w:t>Baixa:</w:t>
      </w:r>
      <w:r>
        <w:t xml:space="preserve"> o pagamento/recebimento é registrado — total ou parcial, imediato (real) ou</w:t>
      </w:r>
    </w:p>
    <w:p>
      <w:r>
        <w:t>planejado. Uma baixa em atraso sugere multa e mora automaticamente.</w:t>
      </w:r>
    </w:p>
    <w:p>
      <w:pPr>
        <w:pStyle w:val="ListNumber"/>
      </w:pPr>
      <w:r>
        <w:rPr>
          <w:b/>
        </w:rPr>
        <w:t>Confirmação:</w:t>
      </w:r>
      <w:r>
        <w:t xml:space="preserve"> uma baixa planejada é confirmada quando o dinheiro efetivamente</w:t>
      </w:r>
    </w:p>
    <w:p>
      <w:r>
        <w:t>circula (por exemplo, confirmado pela conciliação bancária), passando a real e reduzindo o saldo do título.</w:t>
      </w:r>
    </w:p>
    <w:p>
      <w:pPr>
        <w:pStyle w:val="ListNumber"/>
      </w:pPr>
      <w:r>
        <w:rPr>
          <w:b/>
        </w:rPr>
        <w:t>Encerramento:</w:t>
      </w:r>
      <w:r>
        <w:t xml:space="preserve"> quando o saldo chega a zero, o título passa para Baixado.</w:t>
      </w:r>
    </w:p>
    <w:p>
      <w:pPr>
        <w:pStyle w:val="ListNumber"/>
      </w:pPr>
      <w:r>
        <w:rPr>
          <w:b/>
        </w:rPr>
        <w:t>Se necessário, estorno:</w:t>
      </w:r>
      <w:r>
        <w:t xml:space="preserve"> uma baixa real pode ser revertida por um estorno, devolvendo</w:t>
      </w:r>
    </w:p>
    <w:p>
      <w:r>
        <w:t>o saldo ao título.</w:t>
      </w:r>
    </w:p>
    <w:p>
      <w:pPr>
        <w:pStyle w:val="Heading3"/>
      </w:pPr>
      <w:r>
        <w:t>4.9 Validações</w:t>
      </w:r>
    </w:p>
    <w:p>
      <w:pPr>
        <w:pStyle w:val="ListBullet"/>
      </w:pPr>
      <w:r>
        <w:t>Descontos acumulados não podem exceder valor original + acréscimos.</w:t>
      </w:r>
    </w:p>
    <w:p>
      <w:pPr>
        <w:pStyle w:val="ListBullet"/>
      </w:pPr>
      <w:r>
        <w:t>Data de baixa não pode ser anterior à data de emissão do título (e, por política do</w:t>
      </w:r>
    </w:p>
    <w:p>
      <w:r>
        <w:t>tenant, pode ser proibida de ser retroativa em relação à data atual).</w:t>
      </w:r>
    </w:p>
    <w:p>
      <w:pPr>
        <w:pStyle w:val="ListBullet"/>
      </w:pPr>
      <w:r>
        <w:t>Baixa com valor maior que o saldo disponível é rejeitada.</w:t>
      </w:r>
    </w:p>
    <w:p>
      <w:pPr>
        <w:pStyle w:val="ListBullet"/>
      </w:pPr>
      <w:r>
        <w:t>Compensação exige mesma pessoa nos dois títulos e valor dentro do menor saldo.</w:t>
      </w:r>
    </w:p>
    <w:p>
      <w:pPr>
        <w:pStyle w:val="ListBullet"/>
      </w:pPr>
      <w:r>
        <w:t>Um título bloqueado (hold) não aceita baixa nem entra em remessa de pagamento.</w:t>
      </w:r>
    </w:p>
    <w:p>
      <w:pPr>
        <w:pStyle w:val="Heading3"/>
      </w:pPr>
      <w:r>
        <w:t>4.10 Telas</w:t>
      </w:r>
    </w:p>
    <w:p>
      <w:pPr>
        <w:pStyle w:val="ListBullet"/>
      </w:pPr>
      <w:r>
        <w:rPr>
          <w:b/>
        </w:rPr>
        <w:t>Formas de Pagamento</w:t>
      </w:r>
      <w:r>
        <w:t xml:space="preserve"> — regras de cálculo de vencimento.</w:t>
      </w:r>
    </w:p>
    <w:p>
      <w:pPr>
        <w:pStyle w:val="ListBullet"/>
      </w:pPr>
      <w:r>
        <w:rPr>
          <w:b/>
        </w:rPr>
        <w:t>Tipos de Título, Tipos de Ajuste, Tipos de Baixa, Classificações Financeiras, Motivos</w:t>
      </w:r>
    </w:p>
    <w:p>
      <w:r>
        <w:t>— cadastros auxiliares que parametrizam o comportamento dos títulos.</w:t>
      </w:r>
    </w:p>
    <w:p>
      <w:pPr>
        <w:pStyle w:val="ListBullet"/>
      </w:pPr>
      <w:r>
        <w:rPr>
          <w:b/>
        </w:rPr>
        <w:t>Parâmetros Financeiros</w:t>
      </w:r>
      <w:r>
        <w:t xml:space="preserve"> — configurações do tenant (tipo de ajuste padrão para multa/</w:t>
      </w:r>
    </w:p>
    <w:p>
      <w:r>
        <w:t>mora/desconto, permissão de baixa retroativa, consideração de feriado bancário).</w:t>
      </w:r>
    </w:p>
    <w:p>
      <w:pPr>
        <w:pStyle w:val="ListBullet"/>
      </w:pPr>
      <w:r>
        <w:rPr>
          <w:b/>
        </w:rPr>
        <w:t>Lançamento de Título a Pagar / a Receber</w:t>
      </w:r>
      <w:r>
        <w:t xml:space="preserve"> — tela de criação manual e de visualização</w:t>
      </w:r>
    </w:p>
    <w:p>
      <w:r>
        <w:t>de títulos vindos de outras origens (nota fiscal, empréstimo etc.).</w:t>
      </w:r>
    </w:p>
    <w:p>
      <w:pPr>
        <w:pStyle w:val="ListBullet"/>
      </w:pPr>
      <w:r>
        <w:rPr>
          <w:b/>
        </w:rPr>
        <w:t>Listagem de Títulos</w:t>
      </w:r>
      <w:r>
        <w:t xml:space="preserve"> (pagar e receber) — filtros por vencimento, status, terceiro,</w:t>
      </w:r>
    </w:p>
    <w:p>
      <w:r>
        <w:t>tipo, classificação, valor, origem — com totalizadores.</w:t>
      </w:r>
    </w:p>
    <w:p>
      <w:pPr>
        <w:pStyle w:val="ListBullet"/>
      </w:pPr>
      <w:r>
        <w:rPr>
          <w:b/>
        </w:rPr>
        <w:t>Modal de Baixa</w:t>
      </w:r>
      <w:r>
        <w:t xml:space="preserve"> — registro de pagamento/recebimento, com ajustes embutidos (multa,</w:t>
      </w:r>
    </w:p>
    <w:p>
      <w:r>
        <w:t>mora, desconto sugeridos automaticamente em caso de atraso).</w:t>
      </w:r>
    </w:p>
    <w:p>
      <w:pPr>
        <w:pStyle w:val="ListBullet"/>
      </w:pPr>
      <w:r>
        <w:rPr>
          <w:b/>
        </w:rPr>
        <w:t>Modal de Parcelamento</w:t>
      </w:r>
      <w:r>
        <w:t xml:space="preserve"> — distribuição de um título em várias parcelas.</w:t>
      </w:r>
    </w:p>
    <w:p>
      <w:pPr>
        <w:pStyle w:val="ListBullet"/>
      </w:pPr>
      <w:r>
        <w:rPr>
          <w:b/>
        </w:rPr>
        <w:t>Tela de Compensação</w:t>
      </w:r>
      <w:r>
        <w:t xml:space="preserve"> — seleção de um título a pagar e um a receber do mesmo terceiro,</w:t>
      </w:r>
    </w:p>
    <w:p>
      <w:r>
        <w:t>com sugestões automáticas.</w:t>
      </w:r>
    </w:p>
    <w:p>
      <w:pPr>
        <w:pStyle w:val="ListBullet"/>
      </w:pPr>
      <w:r>
        <w:rPr>
          <w:b/>
        </w:rPr>
        <w:t>Adiantamentos Disponíveis</w:t>
      </w:r>
      <w:r>
        <w:t xml:space="preserve"> — saldo de adiantamento por fornecedor/cliente.</w:t>
      </w:r>
    </w:p>
    <w:p>
      <w:pPr>
        <w:pStyle w:val="ListBullet"/>
      </w:pPr>
      <w:r>
        <w:rPr>
          <w:b/>
        </w:rPr>
        <w:t>Assistente de Empréstimo/Leasing</w:t>
      </w:r>
      <w:r>
        <w:t xml:space="preserve"> — simulação e criação de parcelas.</w:t>
      </w:r>
    </w:p>
    <w:p>
      <w:pPr>
        <w:pStyle w:val="ListBullet"/>
      </w:pPr>
      <w:r>
        <w:rPr>
          <w:b/>
        </w:rPr>
        <w:t>Aprovações Pendentes</w:t>
      </w:r>
      <w:r>
        <w:t xml:space="preserve"> — decisão de aprovação por alçada (ver §2).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5. Módulo III — Fluxo de Caixa e Conciliação Bancária</w:t>
      </w:r>
    </w:p>
    <w:p>
      <w:pPr>
        <w:pStyle w:val="Heading3"/>
      </w:pPr>
      <w:r>
        <w:t>5.1 Objetivo</w:t>
      </w:r>
    </w:p>
    <w:p>
      <w:r>
        <w:t>Controlar as contas correntes do tenant, seus movimentos (manuais e originados de baixas de títulos), conciliar automaticamente esses movimentos com o extrato bancário real, e apresentar a visão de fluxo de caixa (realizado, previsto e orçado).</w:t>
      </w:r>
    </w:p>
    <w:p>
      <w:pPr>
        <w:pStyle w:val="Heading3"/>
      </w:pPr>
      <w:r>
        <w:t>5.2 Conceitos</w:t>
      </w:r>
    </w:p>
    <w:p>
      <w:pPr>
        <w:pStyle w:val="ListBullet"/>
      </w:pPr>
      <w:r>
        <w:rPr>
          <w:b/>
        </w:rPr>
        <w:t>Conta corrente</w:t>
      </w:r>
      <w:r>
        <w:t xml:space="preserve"> — conta bancária (ou caixa, poupança, investimento) do tenant, com um</w:t>
      </w:r>
    </w:p>
    <w:p>
      <w:r>
        <w:t>saldo inicial em uma data de referência.</w:t>
      </w:r>
    </w:p>
    <w:p>
      <w:pPr>
        <w:pStyle w:val="ListBullet"/>
      </w:pPr>
      <w:r>
        <w:rPr>
          <w:b/>
        </w:rPr>
        <w:t>Movimentação</w:t>
      </w:r>
      <w:r>
        <w:t xml:space="preserve"> — um lançamento de crédito ou débito na conta corrente: pode vir de uma</w:t>
      </w:r>
    </w:p>
    <w:p>
      <w:r>
        <w:t xml:space="preserve">baixa de título, de uma transferência entre contas, de uma aplicação/resgate ou de um lançamento manual (tarifa bancária, por exemplo). Só entra no cálculo do saldo quando </w:t>
      </w:r>
      <w:r>
        <w:rPr>
          <w:b/>
        </w:rPr>
        <w:t>confirmada</w:t>
      </w:r>
      <w:r>
        <w:t>.</w:t>
      </w:r>
    </w:p>
    <w:p>
      <w:pPr>
        <w:pStyle w:val="ListBullet"/>
      </w:pPr>
      <w:r>
        <w:rPr>
          <w:b/>
        </w:rPr>
        <w:t>Extrato bancário</w:t>
      </w:r>
      <w:r>
        <w:t xml:space="preserve"> — as linhas do movimento real do banco, importadas de um arquivo</w:t>
      </w:r>
    </w:p>
    <w:p>
      <w:r>
        <w:t>(formato OFX) ou digitadas manualmente.</w:t>
      </w:r>
    </w:p>
    <w:p>
      <w:pPr>
        <w:pStyle w:val="ListBullet"/>
      </w:pPr>
      <w:r>
        <w:rPr>
          <w:b/>
        </w:rPr>
        <w:t>Conciliação</w:t>
      </w:r>
      <w:r>
        <w:t xml:space="preserve"> — o processo de casar cada linha do extrato bancário com a movimentação</w:t>
      </w:r>
    </w:p>
    <w:p>
      <w:r>
        <w:t>correspondente no sistema, garantindo que o saldo do sistema bata com o saldo real do banco.</w:t>
      </w:r>
    </w:p>
    <w:p>
      <w:pPr>
        <w:pStyle w:val="ListBullet"/>
      </w:pPr>
      <w:r>
        <w:rPr>
          <w:b/>
        </w:rPr>
        <w:t>Fluxo de caixa projetado</w:t>
      </w:r>
      <w:r>
        <w:t xml:space="preserve"> — combina o que já é realizado (movimentações confirmadas)</w:t>
      </w:r>
    </w:p>
    <w:p>
      <w:r>
        <w:t>com o que é previsto (títulos em aberto com vencimento no período) e, opcionalmente, o que foi orçado.</w:t>
      </w:r>
    </w:p>
    <w:p>
      <w:pPr>
        <w:pStyle w:val="Heading3"/>
      </w:pPr>
      <w:r>
        <w:t>5.3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RN-CB-001</w:t>
            </w:r>
          </w:p>
        </w:tc>
        <w:tc>
          <w:tcPr>
            <w:tcW w:type="dxa" w:w="4680"/>
          </w:tcPr>
          <w:p>
            <w:r>
              <w:t xml:space="preserve">O saldo de uma conta corrente nunca é um número fixo gravado — é sempre recalculado somando o saldo inicial com todas as movimentações </w:t>
            </w:r>
            <w:r>
              <w:rPr>
                <w:b/>
              </w:rPr>
              <w:t>confirmadas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>
              <w:t>RN-CB-002</w:t>
            </w:r>
          </w:p>
        </w:tc>
        <w:tc>
          <w:tcPr>
            <w:tcW w:type="dxa" w:w="4680"/>
          </w:tcPr>
          <w:p>
            <w:r>
              <w:t>A importação de um extrato bancário (arquivo OFX) é idempotente: reimportar o mesmo arquivo não duplica lançamentos — linhas já importadas são identificadas e ignoradas.</w:t>
            </w:r>
          </w:p>
        </w:tc>
      </w:tr>
      <w:tr>
        <w:tc>
          <w:tcPr>
            <w:tcW w:type="dxa" w:w="4680"/>
          </w:tcPr>
          <w:p>
            <w:r>
              <w:t>RN-CB-003</w:t>
            </w:r>
          </w:p>
        </w:tc>
        <w:tc>
          <w:tcPr>
            <w:tcW w:type="dxa" w:w="4680"/>
          </w:tcPr>
          <w:p>
            <w:r>
              <w:t xml:space="preserve">A conciliação automática só efetiva o casamento quando encontra exatamente </w:t>
            </w:r>
            <w:r>
              <w:rPr>
                <w:b/>
              </w:rPr>
              <w:t>uma</w:t>
            </w:r>
            <w:r>
              <w:t xml:space="preserve"> correspondência (mesmo tipo, valor dentro da tolerância, data próxima); se encontrar zero ou mais de uma correspondência possível, a linha fica pendente para conciliação manual.</w:t>
            </w:r>
          </w:p>
        </w:tc>
      </w:tr>
      <w:tr>
        <w:tc>
          <w:tcPr>
            <w:tcW w:type="dxa" w:w="4680"/>
          </w:tcPr>
          <w:p>
            <w:r>
              <w:t>RN-CB-004</w:t>
            </w:r>
          </w:p>
        </w:tc>
        <w:tc>
          <w:tcPr>
            <w:tcW w:type="dxa" w:w="4680"/>
          </w:tcPr>
          <w:p>
            <w:r>
              <w:t>A tolerância de valor aceita na conciliação automática é configurável por tenant (padrão: R$ 0,05); a tolerância de data também é configurável (padrão: 3 dias úteis).</w:t>
            </w:r>
          </w:p>
        </w:tc>
      </w:tr>
      <w:tr>
        <w:tc>
          <w:tcPr>
            <w:tcW w:type="dxa" w:w="4680"/>
          </w:tcPr>
          <w:p>
            <w:r>
              <w:t>RN-CB-005</w:t>
            </w:r>
          </w:p>
        </w:tc>
        <w:tc>
          <w:tcPr>
            <w:tcW w:type="dxa" w:w="4680"/>
          </w:tcPr>
          <w:p>
            <w:r>
              <w:t>Uma transferência entre duas contas correntes sempre gera dois lançamentos simultâneos (débito na origem, crédito no destino) — nunca existe um débito sem o crédito correspondente.</w:t>
            </w:r>
          </w:p>
        </w:tc>
      </w:tr>
      <w:tr>
        <w:tc>
          <w:tcPr>
            <w:tcW w:type="dxa" w:w="4680"/>
          </w:tcPr>
          <w:p>
            <w:r>
              <w:t>RN-CB-006</w:t>
            </w:r>
          </w:p>
        </w:tc>
        <w:tc>
          <w:tcPr>
            <w:tcW w:type="dxa" w:w="4680"/>
          </w:tcPr>
          <w:p>
            <w:r>
              <w:t>Uma linha do extrato marcada como "ignorada" (tarifas, IOF ou lançamentos sem correspondência no sistema, que não precisam conciliação) não pode ser conciliada enquanto estiver nesse status — é preciso desfazer o "ignorado" primeiro. Ignorar uma linha exige uma justificativa.</w:t>
            </w:r>
          </w:p>
        </w:tc>
      </w:tr>
      <w:tr>
        <w:tc>
          <w:tcPr>
            <w:tcW w:type="dxa" w:w="4680"/>
          </w:tcPr>
          <w:p>
            <w:r>
              <w:t>RN-CB-007</w:t>
            </w:r>
          </w:p>
        </w:tc>
        <w:tc>
          <w:tcPr>
            <w:tcW w:type="dxa" w:w="4680"/>
          </w:tcPr>
          <w:p>
            <w:r>
              <w:t xml:space="preserve">Quando a conciliação confirma uma movimentação vinculada a uma baixa </w:t>
            </w:r>
            <w:r>
              <w:rPr>
                <w:b/>
              </w:rPr>
              <w:t>planejada</w:t>
            </w:r>
            <w:r>
              <w:t xml:space="preserve">, essa baixa passa automaticamente para </w:t>
            </w:r>
            <w:r>
              <w:rPr>
                <w:b/>
              </w:rPr>
              <w:t>real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>
              <w:t>RN-CB-008</w:t>
            </w:r>
          </w:p>
        </w:tc>
        <w:tc>
          <w:tcPr>
            <w:tcW w:type="dxa" w:w="4680"/>
          </w:tcPr>
          <w:p>
            <w:r>
              <w:t>Uma movimentação vinculada a um título não pode ser cancelada diretamente — é preciso cancelar/estornar a baixa primeiro, e o cancelamento se propaga.</w:t>
            </w:r>
          </w:p>
        </w:tc>
      </w:tr>
      <w:tr>
        <w:tc>
          <w:tcPr>
            <w:tcW w:type="dxa" w:w="4680"/>
          </w:tcPr>
          <w:p>
            <w:r>
              <w:t>RN-CB-009</w:t>
            </w:r>
          </w:p>
        </w:tc>
        <w:tc>
          <w:tcPr>
            <w:tcW w:type="dxa" w:w="4680"/>
          </w:tcPr>
          <w:p>
            <w:r>
              <w:t xml:space="preserve">O fluxo de caixa previsto usa a </w:t>
            </w:r>
            <w:r>
              <w:rPr>
                <w:b/>
              </w:rPr>
              <w:t>data de vencimento</w:t>
            </w:r>
            <w:r>
              <w:t xml:space="preserve"> dos títulos em aberto, não a data de emissão.</w:t>
            </w:r>
          </w:p>
        </w:tc>
      </w:tr>
      <w:tr>
        <w:tc>
          <w:tcPr>
            <w:tcW w:type="dxa" w:w="4680"/>
          </w:tcPr>
          <w:p>
            <w:r>
              <w:t>RN-CB-010</w:t>
            </w:r>
          </w:p>
        </w:tc>
        <w:tc>
          <w:tcPr>
            <w:tcW w:type="dxa" w:w="4680"/>
          </w:tcPr>
          <w:p>
            <w:r>
              <w:t>Uma necessidade de capital de giro negativa (ou seja, sobra de caixa projetada) não é um alerta de risco — é apenas informação; o sistema não bloqueia nenhuma operação com base nesse indicador.</w:t>
            </w:r>
          </w:p>
        </w:tc>
      </w:tr>
    </w:tbl>
    <w:p/>
    <w:p>
      <w:pPr>
        <w:pStyle w:val="Heading3"/>
      </w:pPr>
      <w:r>
        <w:t>5.4 Fluxo — Integração entre baixa de título e movimentação bancária</w:t>
      </w:r>
    </w:p>
    <w:p>
      <w:r>
        <w:t>Há dois pontos de integração:</w:t>
      </w:r>
    </w:p>
    <w:p>
      <w:r>
        <w:rPr>
          <w:b/>
        </w:rPr>
        <w:t>Ponto 1 — a baixa confirma o movimento:</w:t>
      </w:r>
      <w:r>
        <w:t xml:space="preserve"> quando uma baixa de título é confirmada (status real), o sistema cria automaticamente a movimentação correspondente na conta corrente informada, já nascendo confirmada.</w:t>
      </w:r>
    </w:p>
    <w:p>
      <w:r>
        <w:rPr>
          <w:b/>
        </w:rPr>
        <w:t>Ponto 2 — a conciliação confirma a baixa:</w:t>
      </w:r>
      <w:r>
        <w:t xml:space="preserve"> quando uma movimentação ainda pendente (baixa ainda planejada) é conciliada com uma linha do extrato bancário, o sistema confirma a movimentação </w:t>
      </w:r>
      <w:r>
        <w:rPr>
          <w:b/>
        </w:rPr>
        <w:t>e</w:t>
      </w:r>
      <w:r>
        <w:t>, junto, confirma a baixa do título associado — o saldo do título é atualizado nesse momento.</w:t>
      </w:r>
    </w:p>
    <w:p>
      <w:pPr>
        <w:pStyle w:val="Heading3"/>
      </w:pPr>
      <w:r>
        <w:t>5.5 Fluxo — Conciliação de extrato</w:t>
      </w:r>
    </w:p>
    <w:p>
      <w:pPr>
        <w:pStyle w:val="ListNumber"/>
      </w:pPr>
      <w:r>
        <w:t>Importa-se o arquivo do extrato bancário (ou insere-se manualmente uma linha).</w:t>
      </w:r>
    </w:p>
    <w:p>
      <w:pPr>
        <w:pStyle w:val="ListNumber"/>
      </w:pPr>
      <w:r>
        <w:t>Linhas já importadas anteriormente (mesmo documento, mesma data, mesma conta) são</w:t>
      </w:r>
    </w:p>
    <w:p>
      <w:r>
        <w:t>identificadas e ignoradas silenciosamente — sem duplicar.</w:t>
      </w:r>
    </w:p>
    <w:p>
      <w:pPr>
        <w:pStyle w:val="ListNumber"/>
      </w:pPr>
      <w:r>
        <w:t>Para cada linha nova, o sistema tenta encontrar automaticamente a movimentação</w:t>
      </w:r>
    </w:p>
    <w:p>
      <w:r>
        <w:t>correspondente no sistema (mesmo tipo, valor dentro da tolerância, data próxima).</w:t>
      </w:r>
    </w:p>
    <w:p>
      <w:pPr>
        <w:pStyle w:val="ListNumber"/>
      </w:pPr>
      <w:r>
        <w:t>Encontrando exatamente uma correspondência, concilia automaticamente. Encontrando</w:t>
      </w:r>
    </w:p>
    <w:p>
      <w:r>
        <w:t>ambiguidade (nenhuma ou mais de uma correspondência), deixa pendente para o operador conciliar manualmente, escolhendo a linha do extrato e a movimentação do sistema.</w:t>
      </w:r>
    </w:p>
    <w:p>
      <w:pPr>
        <w:pStyle w:val="ListNumber"/>
      </w:pPr>
      <w:r>
        <w:t>Linhas sem correspondência esperada (tarifas, por exemplo) podem ser marcadas como</w:t>
      </w:r>
    </w:p>
    <w:p>
      <w:r>
        <w:t>"ignoradas", com justificativa.</w:t>
      </w:r>
    </w:p>
    <w:p>
      <w:pPr>
        <w:pStyle w:val="ListNumber"/>
      </w:pPr>
      <w:r>
        <w:t>Um relatório de conciliação mostra o saldo do extrato do banco, o saldo do sistema, a</w:t>
      </w:r>
    </w:p>
    <w:p>
      <w:r>
        <w:t>diferença (idealmente zero), e a lista de pendências dos dois lados.</w:t>
      </w:r>
    </w:p>
    <w:p>
      <w:pPr>
        <w:pStyle w:val="Heading3"/>
      </w:pPr>
      <w:r>
        <w:t>5.6 Validações</w:t>
      </w:r>
    </w:p>
    <w:p>
      <w:pPr>
        <w:pStyle w:val="ListBullet"/>
      </w:pPr>
      <w:r>
        <w:t>Extrato e movimentação a conciliar devem ser da mesma conta corrente e do mesmo tenant.</w:t>
      </w:r>
    </w:p>
    <w:p>
      <w:pPr>
        <w:pStyle w:val="ListBullet"/>
      </w:pPr>
      <w:r>
        <w:t>Tipos (crédito/débito) devem coincidir; valores devem estar dentro da tolerância</w:t>
      </w:r>
    </w:p>
    <w:p>
      <w:r>
        <w:t>configurada.</w:t>
      </w:r>
    </w:p>
    <w:p>
      <w:pPr>
        <w:pStyle w:val="ListBullet"/>
      </w:pPr>
      <w:r>
        <w:t>Uma linha já conciliada não pode ser conciliada novamente sem antes desfazer a conciliação.</w:t>
      </w:r>
    </w:p>
    <w:p>
      <w:pPr>
        <w:pStyle w:val="ListBullet"/>
      </w:pPr>
      <w:r>
        <w:t>Desfazer uma conciliação cujo movimento já gerou obrigação contábil pode não ser permitido</w:t>
      </w:r>
    </w:p>
    <w:p>
      <w:r>
        <w:t>(a reversão contábil precisa ser tratada separadamente).</w:t>
      </w:r>
    </w:p>
    <w:p>
      <w:pPr>
        <w:pStyle w:val="Heading3"/>
      </w:pPr>
      <w:r>
        <w:t>5.7 Telas</w:t>
      </w:r>
    </w:p>
    <w:p>
      <w:pPr>
        <w:pStyle w:val="ListBullet"/>
      </w:pPr>
      <w:r>
        <w:rPr>
          <w:b/>
        </w:rPr>
        <w:t>Bancos e Contas Correntes</w:t>
      </w:r>
      <w:r>
        <w:t xml:space="preserve"> — cadastro.</w:t>
      </w:r>
    </w:p>
    <w:p>
      <w:pPr>
        <w:pStyle w:val="ListBullet"/>
      </w:pPr>
      <w:r>
        <w:rPr>
          <w:b/>
        </w:rPr>
        <w:t>Extrato por Período</w:t>
      </w:r>
      <w:r>
        <w:t xml:space="preserve"> — consulta com saldo acumulado linha a linha.</w:t>
      </w:r>
    </w:p>
    <w:p>
      <w:pPr>
        <w:pStyle w:val="ListBullet"/>
      </w:pPr>
      <w:r>
        <w:rPr>
          <w:b/>
        </w:rPr>
        <w:t>Conciliação Bancária</w:t>
      </w:r>
      <w:r>
        <w:t xml:space="preserve"> — dois painéis lado a lado (extrato do banco / movimentações do</w:t>
      </w:r>
    </w:p>
    <w:p>
      <w:r>
        <w:t>sistema), com indicação visual de conciliado/pendente e ação de vincular manualmente.</w:t>
      </w:r>
    </w:p>
    <w:p>
      <w:pPr>
        <w:pStyle w:val="ListBullet"/>
      </w:pPr>
      <w:r>
        <w:rPr>
          <w:b/>
        </w:rPr>
        <w:t>Fluxo de Caixa</w:t>
      </w:r>
      <w:r>
        <w:t xml:space="preserve"> — gráfico e tabela comparando realizado, previsto e orçado, com</w:t>
      </w:r>
    </w:p>
    <w:p>
      <w:r>
        <w:t>agrupamento diário/semanal/mensal.</w:t>
      </w:r>
    </w:p>
    <w:p>
      <w:pPr>
        <w:pStyle w:val="ListBullet"/>
      </w:pPr>
      <w:r>
        <w:rPr>
          <w:b/>
        </w:rPr>
        <w:t>Posição de Caixa Atual</w:t>
      </w:r>
      <w:r>
        <w:t xml:space="preserve"> — resumo do saldo disponível e pendente por conta.</w:t>
      </w:r>
    </w:p>
    <w:p>
      <w:pPr>
        <w:pStyle w:val="ListBullet"/>
      </w:pPr>
      <w:r>
        <w:rPr>
          <w:b/>
        </w:rPr>
        <w:t>Necessidade de Capital de Giro</w:t>
      </w:r>
      <w:r>
        <w:t xml:space="preserve"> — indicador informativo (não bloqueante).</w:t>
      </w:r>
    </w:p>
    <w:p>
      <w:pPr>
        <w:pStyle w:val="ListBullet"/>
      </w:pPr>
      <w:r>
        <w:rPr>
          <w:b/>
        </w:rPr>
        <w:t>Orçamento Financeiro</w:t>
      </w:r>
      <w:r>
        <w:t xml:space="preserve"> — lançamento de valores orçados por mês/conta/classificação, com</w:t>
      </w:r>
    </w:p>
    <w:p>
      <w:r>
        <w:t>comparação orçado x realizado.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6. Módulo IV — Tesouraria</w:t>
      </w:r>
    </w:p>
    <w:p>
      <w:pPr>
        <w:pStyle w:val="IntenseQuote"/>
      </w:pPr>
      <w:r>
        <w:t>Cobre emissão de boletos, cobrança via PIX, geração e leitura de arquivos bancários</w:t>
      </w:r>
    </w:p>
    <w:p>
      <w:pPr>
        <w:pStyle w:val="IntenseQuote"/>
      </w:pPr>
      <w:r>
        <w:t>(remessa/retorno — "CNAB"), débito direto autorizado (DDA), controle de cheques e</w:t>
      </w:r>
    </w:p>
    <w:p>
      <w:pPr>
        <w:pStyle w:val="IntenseQuote"/>
      </w:pPr>
      <w:r>
        <w:t>aplicações financeiras.</w:t>
      </w:r>
    </w:p>
    <w:p>
      <w:pPr>
        <w:pStyle w:val="Heading3"/>
      </w:pPr>
      <w:r>
        <w:t>6.1 Objetivo</w:t>
      </w:r>
    </w:p>
    <w:p>
      <w:r>
        <w:t>Operacionalizar os meios de recebimento e pagamento do tenant junto aos bancos: emitir cobrança (boleto ou PIX), processar a comunicação de arquivos com o banco para cobrança e pagamento em lote, importar boletos recebidos via DDA, controlar cheques emitidos/recebidos e aplicações financeiras.</w:t>
      </w:r>
    </w:p>
    <w:p>
      <w:pPr>
        <w:pStyle w:val="Heading3"/>
      </w:pPr>
      <w:r>
        <w:t>6.2 Conceitos</w:t>
      </w:r>
    </w:p>
    <w:p>
      <w:pPr>
        <w:pStyle w:val="ListBullet"/>
      </w:pPr>
      <w:r>
        <w:rPr>
          <w:b/>
        </w:rPr>
        <w:t>Configuração de cobrança</w:t>
      </w:r>
      <w:r>
        <w:t xml:space="preserve"> — parâmetros por conta corrente para emissão de boletos:</w:t>
      </w:r>
    </w:p>
    <w:p>
      <w:r>
        <w:t>código do cedente junto ao banco, carteira, modalidade, numeração sequencial exclusiva ("nosso número"), prazos para protesto e negativação, e o layout de arquivo bancário usado.</w:t>
      </w:r>
    </w:p>
    <w:p>
      <w:pPr>
        <w:pStyle w:val="ListBullet"/>
      </w:pPr>
      <w:r>
        <w:rPr>
          <w:b/>
        </w:rPr>
        <w:t>Boleto</w:t>
      </w:r>
      <w:r>
        <w:t xml:space="preserve"> — cobrança emitida vinculada a um título a receber, com código de barras e</w:t>
      </w:r>
    </w:p>
    <w:p>
      <w:r>
        <w:t>linha digitável, percentuais próprios de multa/mora/desconto, e status (emitido, registrado no banco, pago, cancelado, vencido).</w:t>
      </w:r>
    </w:p>
    <w:p>
      <w:pPr>
        <w:pStyle w:val="ListBullet"/>
      </w:pPr>
      <w:r>
        <w:rPr>
          <w:b/>
        </w:rPr>
        <w:t>Cobrança PIX (QR dinâmico)</w:t>
      </w:r>
      <w:r>
        <w:t xml:space="preserve"> — alternativa de cobrança instantânea vinculada a um título</w:t>
      </w:r>
    </w:p>
    <w:p>
      <w:r>
        <w:t>a receber; ao ser paga, gera automaticamente a baixa do título.</w:t>
      </w:r>
    </w:p>
    <w:p>
      <w:pPr>
        <w:pStyle w:val="ListBullet"/>
      </w:pPr>
      <w:r>
        <w:rPr>
          <w:b/>
        </w:rPr>
        <w:t>Arquivo de remessa</w:t>
      </w:r>
      <w:r>
        <w:t xml:space="preserve"> — arquivo enviado ao banco contendo instruções (cobrança ou</w:t>
      </w:r>
    </w:p>
    <w:p>
      <w:r>
        <w:t>pagamento em lote).</w:t>
      </w:r>
    </w:p>
    <w:p>
      <w:pPr>
        <w:pStyle w:val="ListBullet"/>
      </w:pPr>
      <w:r>
        <w:rPr>
          <w:b/>
        </w:rPr>
        <w:t>Arquivo de retorno</w:t>
      </w:r>
      <w:r>
        <w:t xml:space="preserve"> — arquivo recebido do banco informando o que ocorreu com cada</w:t>
      </w:r>
    </w:p>
    <w:p>
      <w:r>
        <w:t>título enviado (pago, alterado, protestado etc.) — as baixas geradas a partir do retorno nascem sempre como planejadas, aguardando confirmação.</w:t>
      </w:r>
    </w:p>
    <w:p>
      <w:pPr>
        <w:pStyle w:val="ListBullet"/>
      </w:pPr>
      <w:r>
        <w:rPr>
          <w:b/>
        </w:rPr>
        <w:t>DDA (Débito Direto Autorizado)</w:t>
      </w:r>
      <w:r>
        <w:t xml:space="preserve"> — mecanismo em que boletos de outros emissores (que o</w:t>
      </w:r>
    </w:p>
    <w:p>
      <w:r>
        <w:t>tenant deve pagar) chegam automaticamente ao sistema via banco, sem precisar do código de barras físico; o operador vincula manualmente cada boleto DDA ao título a pagar correspondente — ou, quando o título ainda não existe, gera um novo título a pagar a partir do próprio boleto DDA (ação igualmente manual, nunca automática).</w:t>
      </w:r>
    </w:p>
    <w:p>
      <w:pPr>
        <w:pStyle w:val="ListBullet"/>
      </w:pPr>
      <w:r>
        <w:rPr>
          <w:b/>
        </w:rPr>
        <w:t>Cheque</w:t>
      </w:r>
      <w:r>
        <w:t xml:space="preserve"> — controle de cheques emitidos e recebidos, com status (emitido, compensado,</w:t>
      </w:r>
    </w:p>
    <w:p>
      <w:r>
        <w:t>devolvido, cancelado, sustado) e alerta quando a data de "bom para" se aproxima.</w:t>
      </w:r>
    </w:p>
    <w:p>
      <w:pPr>
        <w:pStyle w:val="ListBullet"/>
      </w:pPr>
      <w:r>
        <w:rPr>
          <w:b/>
        </w:rPr>
        <w:t>Aplicação financeira</w:t>
      </w:r>
      <w:r>
        <w:t xml:space="preserve"> — controle de recursos aplicados (CDB, LCI, LCA, fundos),</w:t>
      </w:r>
    </w:p>
    <w:p>
      <w:r>
        <w:t>permitido apenas em contas do tipo investimento, com registro de resgate (valor resgatado, rendimento bruto, imposto de renda retido, rendimento líquido).</w:t>
      </w:r>
    </w:p>
    <w:p>
      <w:pPr>
        <w:pStyle w:val="Heading3"/>
      </w:pPr>
      <w:r>
        <w:t>6.3 Estratégia de arquivo bancário (CNAB)</w:t>
      </w:r>
    </w:p>
    <w:p>
      <w:r>
        <w:t>O sistema adota o layout padrão nacional (CNAB 240) como motor principal, tratando as diferenças específicas de cada banco como pequenos ajustes pontuais sobre esse padrão — já que a maior parte da estrutura do arquivo é comum a todos os bancos; o que varia é o formato do número de identificação do título junto ao banco, os códigos de carteira/modalidade e alguns códigos de ocorrência no retorno. O layout mais antigo (CNAB 400), que não é padronizado entre bancos, só é implementado quando algum cliente exigir um banco específico.</w:t>
      </w:r>
    </w:p>
    <w:p>
      <w:pPr>
        <w:pStyle w:val="Heading3"/>
      </w:pPr>
      <w:r>
        <w:t>6.4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RN-TES-001</w:t>
            </w:r>
          </w:p>
        </w:tc>
        <w:tc>
          <w:tcPr>
            <w:tcW w:type="dxa" w:w="4680"/>
          </w:tcPr>
          <w:p>
            <w:r>
              <w:t>A numeração sequencial usada para identificar cada boleto junto ao banco ("nosso número") é exclusiva por conta de cobrança e nunca pode se repetir — mesmo com dois usuários emitindo boletos ao mesmo tempo.</w:t>
            </w:r>
          </w:p>
        </w:tc>
      </w:tr>
      <w:tr>
        <w:tc>
          <w:tcPr>
            <w:tcW w:type="dxa" w:w="4680"/>
          </w:tcPr>
          <w:p>
            <w:r>
              <w:t>RN-TES-002</w:t>
            </w:r>
          </w:p>
        </w:tc>
        <w:tc>
          <w:tcPr>
            <w:tcW w:type="dxa" w:w="4680"/>
          </w:tcPr>
          <w:p>
            <w:r>
              <w:t>Uma aplicação financeira só pode ser feita em conta corrente do tipo investimento.</w:t>
            </w:r>
          </w:p>
        </w:tc>
      </w:tr>
      <w:tr>
        <w:tc>
          <w:tcPr>
            <w:tcW w:type="dxa" w:w="4680"/>
          </w:tcPr>
          <w:p>
            <w:r>
              <w:t>RN-TES-003</w:t>
            </w:r>
          </w:p>
        </w:tc>
        <w:tc>
          <w:tcPr>
            <w:tcW w:type="dxa" w:w="4680"/>
          </w:tcPr>
          <w:p>
            <w:r>
              <w:t>Um boleto vinculado a uma remessa bancária não pode ter a emissão desfeita — só pode ser cancelado ou seguir o fluxo normal de pagamento/vencimento.</w:t>
            </w:r>
          </w:p>
        </w:tc>
      </w:tr>
      <w:tr>
        <w:tc>
          <w:tcPr>
            <w:tcW w:type="dxa" w:w="4680"/>
          </w:tcPr>
          <w:p>
            <w:r>
              <w:t>RN-TES-004</w:t>
            </w:r>
          </w:p>
        </w:tc>
        <w:tc>
          <w:tcPr>
            <w:tcW w:type="dxa" w:w="4680"/>
          </w:tcPr>
          <w:p>
            <w:r>
              <w:t xml:space="preserve">Uma baixa originada de um retorno bancário nasce sempre como </w:t>
            </w:r>
            <w:r>
              <w:rPr>
                <w:b/>
              </w:rPr>
              <w:t>planejada</w:t>
            </w:r>
            <w:r>
              <w:t>, exigindo confirmação (a confirmação normalmente ocorre pela conciliação bancária do valor efetivamente creditado).</w:t>
            </w:r>
          </w:p>
        </w:tc>
      </w:tr>
      <w:tr>
        <w:tc>
          <w:tcPr>
            <w:tcW w:type="dxa" w:w="4680"/>
          </w:tcPr>
          <w:p>
            <w:r>
              <w:t>RN-TES-005</w:t>
            </w:r>
          </w:p>
        </w:tc>
        <w:tc>
          <w:tcPr>
            <w:tcW w:type="dxa" w:w="4680"/>
          </w:tcPr>
          <w:p>
            <w:r>
              <w:t>Um boleto recebido via DDA só é baixado no título a pagar depois que o operador o vincula manualmente ao título correspondente. Quando o título ainda não existe, o operador pode gerar um novo título a pagar a partir do boleto DDA (com o cedente como fornecedor) — também ação manual; nada é criado ou baixado automaticamente.</w:t>
            </w:r>
          </w:p>
        </w:tc>
      </w:tr>
      <w:tr>
        <w:tc>
          <w:tcPr>
            <w:tcW w:type="dxa" w:w="4680"/>
          </w:tcPr>
          <w:p>
            <w:r>
              <w:t>RN-TES-006</w:t>
            </w:r>
          </w:p>
        </w:tc>
        <w:tc>
          <w:tcPr>
            <w:tcW w:type="dxa" w:w="4680"/>
          </w:tcPr>
          <w:p>
            <w:r>
              <w:t>O sistema alerta automaticamente sobre cheques cuja data de "bom para" (data a partir da qual o cheque pode ser depositado) se aproxima.</w:t>
            </w:r>
          </w:p>
        </w:tc>
      </w:tr>
      <w:tr>
        <w:tc>
          <w:tcPr>
            <w:tcW w:type="dxa" w:w="4680"/>
          </w:tcPr>
          <w:p>
            <w:r>
              <w:t>RN-TES-007</w:t>
            </w:r>
          </w:p>
        </w:tc>
        <w:tc>
          <w:tcPr>
            <w:tcW w:type="dxa" w:w="4680"/>
          </w:tcPr>
          <w:p>
            <w:r>
              <w:t>Uma cobrança via PIX que expira sem ser paga não gera baixa; o pagamento fora do prazo de validade da cobrança não é reconhecido automaticamente por aquele código — é preciso gerar nova cobrança.</w:t>
            </w:r>
          </w:p>
        </w:tc>
      </w:tr>
      <w:tr>
        <w:tc>
          <w:tcPr>
            <w:tcW w:type="dxa" w:w="4680"/>
          </w:tcPr>
          <w:p>
            <w:r>
              <w:t>RN-TES-008</w:t>
            </w:r>
          </w:p>
        </w:tc>
        <w:tc>
          <w:tcPr>
            <w:tcW w:type="dxa" w:w="4680"/>
          </w:tcPr>
          <w:p>
            <w:r>
              <w:t>A partir de 2027, cobranças via PIX (e demais meios eletrônicos, incluindo boleto liquidado por arranjo de pagamento) ficam sujeitas ao split payment (ver §3, RN-MF-005) — a segregação do valor do imposto ocorre no momento da liquidação.</w:t>
            </w:r>
          </w:p>
        </w:tc>
      </w:tr>
      <w:tr>
        <w:tc>
          <w:tcPr>
            <w:tcW w:type="dxa" w:w="4680"/>
          </w:tcPr>
          <w:p>
            <w:r>
              <w:t>RN-TES-009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Rejeição de boleto pelo banco:</w:t>
            </w:r>
            <w:r>
              <w:t xml:space="preserve"> quando o retorno bancário traz uma ocorrência de rejeição (ex.: CPF/CNPJ inválido do sacado), o sistema registra o código e o motivo, gera um alerta crítico para o operador (que permanece numa fila até ser tratado) e devolve o boleto ao estado de "emitido" para correção e reemissão. O título continua em aberto — o problema é do boleto, ele nunca trava o recebível.</w:t>
            </w:r>
          </w:p>
        </w:tc>
      </w:tr>
      <w:tr>
        <w:tc>
          <w:tcPr>
            <w:tcW w:type="dxa" w:w="4680"/>
          </w:tcPr>
          <w:p>
            <w:r>
              <w:t>RN-TES-010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Liquidação parcial de boleto:</w:t>
            </w:r>
            <w:r>
              <w:t xml:space="preserve"> quando o retorno bancário informa pagamento parcial, o sistema gera uma baixa parcial pelo valor recebido; o título permanece em aberto com o saldo residual, e o boleto pode ser reapresentado ao banco pelo saldo remanescente.</w:t>
            </w:r>
          </w:p>
        </w:tc>
      </w:tr>
    </w:tbl>
    <w:p/>
    <w:p>
      <w:pPr>
        <w:pStyle w:val="Heading3"/>
      </w:pPr>
      <w:r>
        <w:t>6.5 Fluxo — Cobrança PIX</w:t>
      </w:r>
    </w:p>
    <w:p>
      <w:pPr>
        <w:pStyle w:val="ListNumber"/>
      </w:pPr>
      <w:r>
        <w:t>Uma cobrança PIX é criada para um título a receber, gerando um código (QR/copia-e-cola)</w:t>
      </w:r>
    </w:p>
    <w:p>
      <w:r>
        <w:t>com prazo de validade.</w:t>
      </w:r>
    </w:p>
    <w:p>
      <w:pPr>
        <w:pStyle w:val="ListNumber"/>
      </w:pPr>
      <w:r>
        <w:t>Quando o pagamento é recebido, o sistema localiza a cobrança correspondente, cria a baixa</w:t>
      </w:r>
    </w:p>
    <w:p>
      <w:r>
        <w:t>do título já confirmada e a movimentação bancária correspondente — de forma que reprocessar a mesma notificação de pagamento não gera baixa duplicada.</w:t>
      </w:r>
    </w:p>
    <w:p>
      <w:pPr>
        <w:pStyle w:val="ListNumber"/>
      </w:pPr>
      <w:r>
        <w:t>A conciliação bancária reforça essa correspondência ao comparar com o extrato.</w:t>
      </w:r>
    </w:p>
    <w:p>
      <w:pPr>
        <w:pStyle w:val="Heading3"/>
      </w:pPr>
      <w:r>
        <w:t>6.6 Fluxo — Emissão de boleto e ciclo CNAB (visão de negócio)</w:t>
      </w:r>
    </w:p>
    <w:p>
      <w:pPr>
        <w:pStyle w:val="ListNumber"/>
      </w:pPr>
      <w:r>
        <w:t>O título a receber é emitido, gerando o boleto com código de barras e linha digitável.</w:t>
      </w:r>
    </w:p>
    <w:p>
      <w:pPr>
        <w:pStyle w:val="ListNumber"/>
      </w:pPr>
      <w:r>
        <w:t>O boleto entra em uma remessa enviada ao banco.</w:t>
      </w:r>
    </w:p>
    <w:p>
      <w:pPr>
        <w:pStyle w:val="ListNumber"/>
      </w:pPr>
      <w:r>
        <w:t>O banco processa e devolve um arquivo de retorno informando o que aconteceu com cada</w:t>
      </w:r>
    </w:p>
    <w:p>
      <w:r>
        <w:t>título (pago, alterado, protestado, cancelado etc.).</w:t>
      </w:r>
    </w:p>
    <w:p>
      <w:pPr>
        <w:pStyle w:val="ListNumber"/>
      </w:pPr>
      <w:r>
        <w:t>Cada ocorrência do retorno gera uma baixa planejada, que é confirmada assim que o</w:t>
      </w:r>
    </w:p>
    <w:p>
      <w:r>
        <w:t xml:space="preserve">dinheiro é identificado na conciliação bancária. Uma ocorrência de </w:t>
      </w:r>
      <w:r>
        <w:rPr>
          <w:b/>
        </w:rPr>
        <w:t>rejeição</w:t>
      </w:r>
      <w:r>
        <w:t xml:space="preserve"> (RN-TES-009) não gera baixa — devolve o boleto para reemissão. Uma ocorrência de </w:t>
      </w:r>
      <w:r>
        <w:rPr>
          <w:b/>
        </w:rPr>
        <w:t>pagamento parcial</w:t>
      </w:r>
      <w:r>
        <w:t xml:space="preserve"> (RN-TES-010) gera baixa parcial, deixando o título em aberto pelo saldo residual.</w:t>
      </w:r>
    </w:p>
    <w:p>
      <w:pPr>
        <w:pStyle w:val="Heading3"/>
      </w:pPr>
      <w:r>
        <w:t>6.7 Cron jobs (rotinas automáticas relevantes ao negócio)</w:t>
      </w:r>
    </w:p>
    <w:p>
      <w:pPr>
        <w:pStyle w:val="ListBullet"/>
      </w:pPr>
      <w:r>
        <w:t>Verificação diária de boletos vencidos.</w:t>
      </w:r>
    </w:p>
    <w:p>
      <w:pPr>
        <w:pStyle w:val="ListBullet"/>
      </w:pPr>
      <w:r>
        <w:t>Verificação diária de aplicações financeiras vencidas.</w:t>
      </w:r>
    </w:p>
    <w:p>
      <w:pPr>
        <w:pStyle w:val="ListBullet"/>
      </w:pPr>
      <w:r>
        <w:t>Verificação diária de cheques a compensar.</w:t>
      </w:r>
    </w:p>
    <w:p>
      <w:pPr>
        <w:pStyle w:val="ListBullet"/>
      </w:pPr>
      <w:r>
        <w:t>Verificação diária de cobranças PIX expiradas.</w:t>
      </w:r>
    </w:p>
    <w:p>
      <w:pPr>
        <w:pStyle w:val="Heading3"/>
      </w:pPr>
      <w:r>
        <w:t>6.8 Validações</w:t>
      </w:r>
    </w:p>
    <w:p>
      <w:pPr>
        <w:pStyle w:val="ListBullet"/>
      </w:pPr>
      <w:r>
        <w:t>Aplicação financeira restrita a contas do tipo investimento.</w:t>
      </w:r>
    </w:p>
    <w:p>
      <w:pPr>
        <w:pStyle w:val="ListBullet"/>
      </w:pPr>
      <w:r>
        <w:t>Nosso número exclusivo por conta de cobrança — sem duplicidade mesmo sob concorrência.</w:t>
      </w:r>
    </w:p>
    <w:p>
      <w:pPr>
        <w:pStyle w:val="ListBullet"/>
      </w:pPr>
      <w:r>
        <w:t>Boleto vinculado a remessa não permite desfazer emissão.</w:t>
      </w:r>
    </w:p>
    <w:p>
      <w:pPr>
        <w:pStyle w:val="ListBullet"/>
      </w:pPr>
      <w:r>
        <w:t>Vínculo de boleto DDA ao título a pagar é sempre manual, nunca automático.</w:t>
      </w:r>
    </w:p>
    <w:p>
      <w:pPr>
        <w:pStyle w:val="Heading3"/>
      </w:pPr>
      <w:r>
        <w:t>6.9 Telas</w:t>
      </w:r>
    </w:p>
    <w:p>
      <w:pPr>
        <w:pStyle w:val="ListBullet"/>
      </w:pPr>
      <w:r>
        <w:rPr>
          <w:b/>
        </w:rPr>
        <w:t>Configurações → Cobrança</w:t>
      </w:r>
      <w:r>
        <w:t xml:space="preserve"> — parâmetros de emissão de boleto por conta corrente.</w:t>
      </w:r>
    </w:p>
    <w:p>
      <w:pPr>
        <w:pStyle w:val="ListBullet"/>
      </w:pPr>
      <w:r>
        <w:rPr>
          <w:b/>
        </w:rPr>
        <w:t>Emissão de Boleto</w:t>
      </w:r>
      <w:r>
        <w:t xml:space="preserve"> — geração de cobrança para título a receber.</w:t>
      </w:r>
    </w:p>
    <w:p>
      <w:pPr>
        <w:pStyle w:val="ListBullet"/>
      </w:pPr>
      <w:r>
        <w:rPr>
          <w:b/>
        </w:rPr>
        <w:t>Cobrança PIX</w:t>
      </w:r>
      <w:r>
        <w:t xml:space="preserve"> — geração de QR code para título a receber.</w:t>
      </w:r>
    </w:p>
    <w:p>
      <w:pPr>
        <w:pStyle w:val="ListBullet"/>
      </w:pPr>
      <w:r>
        <w:rPr>
          <w:b/>
        </w:rPr>
        <w:t>Remessa e Retorno CNAB</w:t>
      </w:r>
      <w:r>
        <w:t xml:space="preserve"> — geração de arquivo de remessa e importação/processamento do</w:t>
      </w:r>
    </w:p>
    <w:p>
      <w:r>
        <w:t>retorno do banco.</w:t>
      </w:r>
    </w:p>
    <w:p>
      <w:pPr>
        <w:pStyle w:val="ListBullet"/>
      </w:pPr>
      <w:r>
        <w:rPr>
          <w:b/>
        </w:rPr>
        <w:t>Importação DDA</w:t>
      </w:r>
      <w:r>
        <w:t xml:space="preserve"> — lista de boletos recebidos via DDA aguardando vínculo manual ao</w:t>
      </w:r>
    </w:p>
    <w:p>
      <w:r>
        <w:t>título a pagar.</w:t>
      </w:r>
    </w:p>
    <w:p>
      <w:pPr>
        <w:pStyle w:val="ListBullet"/>
      </w:pPr>
      <w:r>
        <w:rPr>
          <w:b/>
        </w:rPr>
        <w:t>Cheques</w:t>
      </w:r>
      <w:r>
        <w:t xml:space="preserve"> — registro e controle de cheques emitidos/recebidos.</w:t>
      </w:r>
    </w:p>
    <w:p>
      <w:pPr>
        <w:pStyle w:val="ListBullet"/>
      </w:pPr>
      <w:r>
        <w:rPr>
          <w:b/>
        </w:rPr>
        <w:t>Aplicações Financeiras</w:t>
      </w:r>
      <w:r>
        <w:t xml:space="preserve"> — registro de aplicação e de resgate.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7. Módulo V — Contabilidade e Livro-Razão (GL)</w:t>
      </w:r>
    </w:p>
    <w:p>
      <w:pPr>
        <w:pStyle w:val="Heading3"/>
      </w:pPr>
      <w:r>
        <w:t>7.1 Objetivo</w:t>
      </w:r>
    </w:p>
    <w:p>
      <w:r>
        <w:t>Registrar automaticamente, em partidas dobradas (débito/crédito), os eventos financeiros gerados pelos módulos anteriores (baixa de título, movimentação bancária confirmada, apuração fiscal fechada, empréstimo, resgate de aplicação), permitir lançamento manual quando necessário, e produzir as demonstrações financeiras (Balanço Patrimonial, DRE, Razão, Livro Diário).</w:t>
      </w:r>
    </w:p>
    <w:p>
      <w:pPr>
        <w:pStyle w:val="Heading3"/>
      </w:pPr>
      <w:r>
        <w:t>7.2 Conceitos</w:t>
      </w:r>
    </w:p>
    <w:p>
      <w:pPr>
        <w:pStyle w:val="ListBullet"/>
      </w:pPr>
      <w:r>
        <w:rPr>
          <w:b/>
        </w:rPr>
        <w:t>Plano de contas</w:t>
      </w:r>
      <w:r>
        <w:t xml:space="preserve"> — estrutura hierárquica de contas contábeis (Ativo, Passivo,</w:t>
      </w:r>
    </w:p>
    <w:p>
      <w:r>
        <w:t>Patrimônio Líquido, Receitas, Custos, Despesas), copiada de um modelo oficial na ativação do tenant e editável a partir daí (ver regras de imutabilidade em §2).</w:t>
      </w:r>
    </w:p>
    <w:p>
      <w:pPr>
        <w:pStyle w:val="ListBullet"/>
      </w:pPr>
      <w:r>
        <w:rPr>
          <w:b/>
        </w:rPr>
        <w:t>Período contábil</w:t>
      </w:r>
      <w:r>
        <w:t xml:space="preserve"> — competência mensal que pode estar aberta, fechada ou bloqueada.</w:t>
      </w:r>
    </w:p>
    <w:p>
      <w:r>
        <w:t>Um período fechado não aceita novo lançamento.</w:t>
      </w:r>
    </w:p>
    <w:p>
      <w:pPr>
        <w:pStyle w:val="ListBullet"/>
      </w:pPr>
      <w:r>
        <w:rPr>
          <w:b/>
        </w:rPr>
        <w:t>Lançamento contábil</w:t>
      </w:r>
      <w:r>
        <w:t xml:space="preserve"> — o registro de um evento financeiro em partidas de débito e</w:t>
      </w:r>
    </w:p>
    <w:p>
      <w:r>
        <w:t>crédito. A soma dos débitos deve sempre ser igual à soma dos créditos.</w:t>
      </w:r>
    </w:p>
    <w:p>
      <w:pPr>
        <w:pStyle w:val="ListBullet"/>
      </w:pPr>
      <w:r>
        <w:rPr>
          <w:b/>
        </w:rPr>
        <w:t>Mapeamento contábil</w:t>
      </w:r>
      <w:r>
        <w:t xml:space="preserve"> — a configuração de "de/para" entre entidades financeiras (conta</w:t>
      </w:r>
    </w:p>
    <w:p>
      <w:r>
        <w:t>corrente, tipo de baixa, tipo de ajuste, classificação financeira, tributo) e as contas contábeis correspondentes — necessária para que o sistema saiba automaticamente em qual conta lançar cada tipo de evento.</w:t>
      </w:r>
    </w:p>
    <w:p>
      <w:pPr>
        <w:pStyle w:val="ListBullet"/>
      </w:pPr>
      <w:r>
        <w:rPr>
          <w:b/>
        </w:rPr>
        <w:t>Estabelecimento (matriz/filial)</w:t>
      </w:r>
      <w:r>
        <w:t xml:space="preserve"> — dimensão que permite lançar e fechar período por</w:t>
      </w:r>
    </w:p>
    <w:p>
      <w:r>
        <w:t>filial individualmente, além do consolidado do grupo. O plano de contas é compartilhado entre as filiais — o estabelecimento é uma dimensão do lançamento, não do plano de contas.</w:t>
      </w:r>
    </w:p>
    <w:p>
      <w:pPr>
        <w:pStyle w:val="Heading3"/>
      </w:pPr>
      <w:r>
        <w:t>7.3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RN-CONT-001</w:t>
            </w:r>
          </w:p>
        </w:tc>
        <w:tc>
          <w:tcPr>
            <w:tcW w:type="dxa" w:w="4680"/>
          </w:tcPr>
          <w:p>
            <w:r>
              <w:t>A soma dos débitos deve ser sempre igual à soma dos créditos em cada lançamento contábil.</w:t>
            </w:r>
          </w:p>
        </w:tc>
      </w:tr>
      <w:tr>
        <w:tc>
          <w:tcPr>
            <w:tcW w:type="dxa" w:w="4680"/>
          </w:tcPr>
          <w:p>
            <w:r>
              <w:t>RN-CONT-002</w:t>
            </w:r>
          </w:p>
        </w:tc>
        <w:tc>
          <w:tcPr>
            <w:tcW w:type="dxa" w:w="4680"/>
          </w:tcPr>
          <w:p>
            <w:r>
              <w:t>Um período contábil fechado não aceita nenhum lançamento novo — para corrigir, é preciso reabrir o período (se permitido) ou lançar no período seguinte.</w:t>
            </w:r>
          </w:p>
        </w:tc>
      </w:tr>
      <w:tr>
        <w:tc>
          <w:tcPr>
            <w:tcW w:type="dxa" w:w="4680"/>
          </w:tcPr>
          <w:p>
            <w:r>
              <w:t>RN-CONT-003</w:t>
            </w:r>
          </w:p>
        </w:tc>
        <w:tc>
          <w:tcPr>
            <w:tcW w:type="dxa" w:w="4680"/>
          </w:tcPr>
          <w:p>
            <w:r>
              <w:t>É possível fechar o período de uma filial individualmente antes do fechamento consolidado do grupo.</w:t>
            </w:r>
          </w:p>
        </w:tc>
      </w:tr>
      <w:tr>
        <w:tc>
          <w:tcPr>
            <w:tcW w:type="dxa" w:w="4680"/>
          </w:tcPr>
          <w:p>
            <w:r>
              <w:t>RN-CONT-004</w:t>
            </w:r>
          </w:p>
        </w:tc>
        <w:tc>
          <w:tcPr>
            <w:tcW w:type="dxa" w:w="4680"/>
          </w:tcPr>
          <w:p>
            <w:r>
              <w:t>O plano de contas é compartilhado entre todas as filiais de um mesmo tenant — não existe um plano de contas por filial; a filial é apenas uma dimensão de análise dentro do lançamento.</w:t>
            </w:r>
          </w:p>
        </w:tc>
      </w:tr>
      <w:tr>
        <w:tc>
          <w:tcPr>
            <w:tcW w:type="dxa" w:w="4680"/>
          </w:tcPr>
          <w:p>
            <w:r>
              <w:t>RN-CONT-005</w:t>
            </w:r>
          </w:p>
        </w:tc>
        <w:tc>
          <w:tcPr>
            <w:tcW w:type="dxa" w:w="4680"/>
          </w:tcPr>
          <w:p>
            <w:r>
              <w:t>Balanço Patrimonial e DRE podem ser gerados de forma consolidada (todas as filiais juntas) ou individual (por filial).</w:t>
            </w:r>
          </w:p>
        </w:tc>
      </w:tr>
      <w:tr>
        <w:tc>
          <w:tcPr>
            <w:tcW w:type="dxa" w:w="4680"/>
          </w:tcPr>
          <w:p>
            <w:r>
              <w:t>RN-CONT-006</w:t>
            </w:r>
          </w:p>
        </w:tc>
        <w:tc>
          <w:tcPr>
            <w:tcW w:type="dxa" w:w="4680"/>
          </w:tcPr>
          <w:p>
            <w:r>
              <w:t>Contas retificadoras (como a de depreciação acumulada ou a de provisão para devedores duvidosos) reduzem o saldo do grupo de contas ao qual pertencem na apresentação do Balanço.</w:t>
            </w:r>
          </w:p>
        </w:tc>
      </w:tr>
      <w:tr>
        <w:tc>
          <w:tcPr>
            <w:tcW w:type="dxa" w:w="4680"/>
          </w:tcPr>
          <w:p>
            <w:r>
              <w:t>RN-CONT-007</w:t>
            </w:r>
          </w:p>
        </w:tc>
        <w:tc>
          <w:tcPr>
            <w:tcW w:type="dxa" w:w="4680"/>
          </w:tcPr>
          <w:p>
            <w:r>
              <w:t>Ver também as regras de imutabilidade do plano de contas (RN-FUND-008 a RN-FUND-012, em §2).</w:t>
            </w:r>
          </w:p>
        </w:tc>
      </w:tr>
      <w:tr>
        <w:tc>
          <w:tcPr>
            <w:tcW w:type="dxa" w:w="4680"/>
          </w:tcPr>
          <w:p>
            <w:r>
              <w:t>RN-CONT-008</w:t>
            </w:r>
          </w:p>
        </w:tc>
        <w:tc>
          <w:tcPr>
            <w:tcW w:type="dxa" w:w="4680"/>
          </w:tcPr>
          <w:p>
            <w:r>
              <w:t xml:space="preserve">O estorno de uma baixa confirmada gera automaticamente um lançamento contábil de </w:t>
            </w:r>
            <w:r>
              <w:rPr>
                <w:b/>
              </w:rPr>
              <w:t>reversão</w:t>
            </w:r>
            <w:r>
              <w:t>: as mesmas contas do lançamento original, com débito e crédito invertidos. O lançamento original é marcado como "estornado" e nunca é apagado. Se o original pertence a um período já fechado, a reversão é lançada na competência aberta atual, com histórico referenciando o lançamento e a competência originais — o período fechado permanece intacto.</w:t>
            </w:r>
          </w:p>
        </w:tc>
      </w:tr>
      <w:tr>
        <w:tc>
          <w:tcPr>
            <w:tcW w:type="dxa" w:w="4680"/>
          </w:tcPr>
          <w:p>
            <w:r>
              <w:t>RN-CONT-009</w:t>
            </w:r>
          </w:p>
        </w:tc>
        <w:tc>
          <w:tcPr>
            <w:tcW w:type="dxa" w:w="4680"/>
          </w:tcPr>
          <w:p>
            <w:r>
              <w:t xml:space="preserve">Um evento financeiro cuja competência cai em período contábil </w:t>
            </w:r>
            <w:r>
              <w:rPr>
                <w:b/>
              </w:rPr>
              <w:t>fechado</w:t>
            </w:r>
            <w:r>
              <w:t xml:space="preserve"> não gera lançamento naquele período. O tratamento é configurável por empresa: </w:t>
            </w:r>
            <w:r>
              <w:rPr>
                <w:b/>
              </w:rPr>
              <w:t>lançar automaticamente na competência aberta atual</w:t>
            </w:r>
            <w:r>
              <w:t xml:space="preserve"> (padrão, com histórico referenciando a competência original) ou </w:t>
            </w:r>
            <w:r>
              <w:rPr>
                <w:b/>
              </w:rPr>
              <w:t>reter o evento como pendente</w:t>
            </w:r>
            <w:r>
              <w:t xml:space="preserve"> até eventual reabertura do período — nesse caso, eventos pendentes impedem um novo fechamento até serem tratados.</w:t>
            </w:r>
          </w:p>
        </w:tc>
      </w:tr>
    </w:tbl>
    <w:p/>
    <w:p>
      <w:pPr>
        <w:pStyle w:val="Heading3"/>
      </w:pPr>
      <w:r>
        <w:t>7.4 Estrutura do modelo de plano de contas (elenco oficial de partida)</w:t>
      </w:r>
    </w:p>
    <w:p>
      <w:r>
        <w:t xml:space="preserve">O modelo de partida segue a estrutura clássica: </w:t>
      </w:r>
      <w:r>
        <w:rPr>
          <w:b/>
        </w:rPr>
        <w:t>1. Ativo · 2. Passivo (com o Patrimônio Líquido sob o grupo 2.4) · 3. Receitas · 4. Custos · 5. Despesas e Demais Resultados</w:t>
      </w:r>
      <w:r>
        <w:t>, já incluindo contas específicas para os novos tributos da reforma (IBS/CBS a recuperar e a recolher, IS a recolher) convivendo com as contas dos tributos atuais durante a transição (ICMS, ISS, PIS/Cofins). Itens setoriais muito específicos não entram no modelo padrão — cada tenant pode adicioná-los à própria cópia, se necessário.</w:t>
      </w:r>
    </w:p>
    <w:p>
      <w:pPr>
        <w:pStyle w:val="Heading3"/>
      </w:pPr>
      <w:r>
        <w:t>7.5 Demonstrações previstas</w:t>
      </w:r>
    </w:p>
    <w:p>
      <w:pPr>
        <w:pStyle w:val="ListBullet"/>
      </w:pPr>
      <w:r>
        <w:rPr>
          <w:b/>
        </w:rPr>
        <w:t>Razão Contábil</w:t>
      </w:r>
      <w:r>
        <w:t xml:space="preserve"> — pode ser filtrado por estabelecimento (visão por filial) ou</w:t>
      </w:r>
    </w:p>
    <w:p>
      <w:r>
        <w:t>consolidado.</w:t>
      </w:r>
    </w:p>
    <w:p>
      <w:pPr>
        <w:pStyle w:val="ListBullet"/>
      </w:pPr>
      <w:r>
        <w:rPr>
          <w:b/>
        </w:rPr>
        <w:t>Balanço Patrimonial</w:t>
      </w:r>
      <w:r>
        <w:t xml:space="preserve"> — consolidado (todas as filiais) ou individual por estabelecimento.</w:t>
      </w:r>
    </w:p>
    <w:p>
      <w:pPr>
        <w:pStyle w:val="ListBullet"/>
      </w:pPr>
      <w:r>
        <w:rPr>
          <w:b/>
        </w:rPr>
        <w:t>DRE por Competência</w:t>
      </w:r>
      <w:r>
        <w:t xml:space="preserve"> — idem.</w:t>
      </w:r>
    </w:p>
    <w:p>
      <w:pPr>
        <w:pStyle w:val="ListBullet"/>
      </w:pPr>
      <w:r>
        <w:rPr>
          <w:b/>
        </w:rPr>
        <w:t>Livro Diário</w:t>
      </w:r>
      <w:r>
        <w:t xml:space="preserve"> — sequência cronológica e numerada sem lacunas dos lançamentos.</w:t>
      </w:r>
    </w:p>
    <w:p>
      <w:pPr>
        <w:pStyle w:val="ListBullet"/>
      </w:pPr>
      <w:r>
        <w:rPr>
          <w:b/>
        </w:rPr>
        <w:t>Fechamento Anual</w:t>
      </w:r>
      <w:r>
        <w:t>.</w:t>
      </w:r>
    </w:p>
    <w:p>
      <w:pPr>
        <w:pStyle w:val="ListBullet"/>
      </w:pPr>
      <w:r>
        <w:rPr>
          <w:b/>
        </w:rPr>
        <w:t>Conciliação entre o Livro-Razão e os sub-livros</w:t>
      </w:r>
      <w:r>
        <w:t xml:space="preserve"> (contas a pagar/receber, banco) —</w:t>
      </w:r>
    </w:p>
    <w:p>
      <w:r>
        <w:t>garante que o saldo contábil bate com o saldo operacional de cada módulo.</w:t>
      </w:r>
    </w:p>
    <w:p>
      <w:pPr>
        <w:pStyle w:val="Heading3"/>
      </w:pPr>
      <w:r>
        <w:t>7.6 Validações</w:t>
      </w:r>
    </w:p>
    <w:p>
      <w:pPr>
        <w:pStyle w:val="ListBullet"/>
      </w:pPr>
      <w:r>
        <w:t>Lançamento contábil desbalanceado (débito ≠ crédito) é rejeitado.</w:t>
      </w:r>
    </w:p>
    <w:p>
      <w:pPr>
        <w:pStyle w:val="ListBullet"/>
      </w:pPr>
      <w:r>
        <w:t>Lançamento em período fechado é rejeitado.</w:t>
      </w:r>
    </w:p>
    <w:p>
      <w:pPr>
        <w:pStyle w:val="ListBullet"/>
      </w:pPr>
      <w:r>
        <w:t>Conta sem permissão de lançamento (conta "sintética", apenas agrupadora na hierarquia)</w:t>
      </w:r>
    </w:p>
    <w:p>
      <w:r>
        <w:t>não aceita lançamento direto.</w:t>
      </w:r>
    </w:p>
    <w:p>
      <w:pPr>
        <w:pStyle w:val="Heading3"/>
      </w:pPr>
      <w:r>
        <w:t>7.7 Telas</w:t>
      </w:r>
    </w:p>
    <w:p>
      <w:pPr>
        <w:pStyle w:val="ListBullet"/>
      </w:pPr>
      <w:r>
        <w:rPr>
          <w:b/>
        </w:rPr>
        <w:t>Plano de Contas</w:t>
      </w:r>
      <w:r>
        <w:t xml:space="preserve"> — consulta e edição da cópia do tenant.</w:t>
      </w:r>
    </w:p>
    <w:p>
      <w:pPr>
        <w:pStyle w:val="ListBullet"/>
      </w:pPr>
      <w:r>
        <w:rPr>
          <w:b/>
        </w:rPr>
        <w:t>Mapeamento Contábil</w:t>
      </w:r>
      <w:r>
        <w:t xml:space="preserve"> — configuração de/para entre entidades financeiras e contas.</w:t>
      </w:r>
    </w:p>
    <w:p>
      <w:pPr>
        <w:pStyle w:val="ListBullet"/>
      </w:pPr>
      <w:r>
        <w:rPr>
          <w:b/>
        </w:rPr>
        <w:t>Períodos Contábeis</w:t>
      </w:r>
      <w:r>
        <w:t xml:space="preserve"> — consulta de status e fechamento (pelo contador ou responsável).</w:t>
      </w:r>
    </w:p>
    <w:p>
      <w:pPr>
        <w:pStyle w:val="ListBullet"/>
      </w:pPr>
      <w:r>
        <w:rPr>
          <w:b/>
        </w:rPr>
        <w:t>Razão, Balanço, DRE, Livro Diário</w:t>
      </w:r>
      <w:r>
        <w:t xml:space="preserve"> — telas de consulta/exportação das demonstrações.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8. Módulo VI — Análises Gerenciais e Relatórios</w:t>
      </w:r>
    </w:p>
    <w:p>
      <w:pPr>
        <w:pStyle w:val="Heading3"/>
      </w:pPr>
      <w:r>
        <w:t>8.1 Objetivo</w:t>
      </w:r>
    </w:p>
    <w:p>
      <w:r>
        <w:t>Fornecer visão analítica e indicadores de gestão financeira, sem originar nenhum lançamento — é um módulo somente de leitura sobre os dados de todos os módulos anteriores.</w:t>
      </w:r>
    </w:p>
    <w:p>
      <w:pPr>
        <w:pStyle w:val="Heading3"/>
      </w:pPr>
      <w:r>
        <w:t>8.2 Conceitos</w:t>
      </w:r>
    </w:p>
    <w:p>
      <w:pPr>
        <w:pStyle w:val="ListBullet"/>
      </w:pPr>
      <w:r>
        <w:rPr>
          <w:b/>
        </w:rPr>
        <w:t>Aging (posição por faixa de vencimento)</w:t>
      </w:r>
      <w:r>
        <w:t xml:space="preserve"> — agrupamento de títulos em aberto por faixa</w:t>
      </w:r>
    </w:p>
    <w:p>
      <w:r>
        <w:t>de atraso ou de vencimento futuro.</w:t>
      </w:r>
    </w:p>
    <w:p>
      <w:pPr>
        <w:pStyle w:val="ListBullet"/>
      </w:pPr>
      <w:r>
        <w:rPr>
          <w:b/>
        </w:rPr>
        <w:t>Inadimplência</w:t>
      </w:r>
      <w:r>
        <w:t xml:space="preserve"> — indicador de quanto do total a receber está vencido e não pago.</w:t>
      </w:r>
    </w:p>
    <w:p>
      <w:pPr>
        <w:pStyle w:val="ListBullet"/>
      </w:pPr>
      <w:r>
        <w:rPr>
          <w:b/>
        </w:rPr>
        <w:t>PDD (Provisão para Devedores Duvidosos)</w:t>
      </w:r>
      <w:r>
        <w:t xml:space="preserve"> — provisão contábil calculada mensalmente por</w:t>
      </w:r>
    </w:p>
    <w:p>
      <w:r>
        <w:t xml:space="preserve">faixa de aging, configurável por tenant (percentuais sugeridos de partida: 0,5% para não vencido, 3% para até 30 dias, 8% para 31–60 dias, 20% para 61–90 dias, 50% para acima de 90 dias). É uma </w:t>
      </w:r>
      <w:r>
        <w:rPr>
          <w:b/>
        </w:rPr>
        <w:t>estimativa de perda</w:t>
      </w:r>
      <w:r>
        <w:t>, não uma baixa de título: o total apurado alimenta um lançamento contábil de despesa contra uma conta redutora do ativo (quando o tenant opta por contabilizar a provisão — ver §7), sem afetar o saldo em aberto de nenhum título individual.</w:t>
      </w:r>
    </w:p>
    <w:p>
      <w:pPr>
        <w:pStyle w:val="ListBullet"/>
      </w:pPr>
      <w:r>
        <w:rPr>
          <w:b/>
        </w:rPr>
        <w:t>KPIs financeiros</w:t>
      </w:r>
      <w:r>
        <w:t xml:space="preserve"> — Giro de Recebíveis, Prazo Médio de Recebimento (PMR), Prazo Médio</w:t>
      </w:r>
    </w:p>
    <w:p>
      <w:r>
        <w:t>de Pagamento (PMP), Ciclo Financeiro, Taxa de Inadimplência.</w:t>
      </w:r>
    </w:p>
    <w:p>
      <w:pPr>
        <w:pStyle w:val="ListBullet"/>
      </w:pPr>
      <w:r>
        <w:rPr>
          <w:b/>
        </w:rPr>
        <w:t>Dashboard executivo</w:t>
      </w:r>
      <w:r>
        <w:t xml:space="preserve"> — visão consolidada de posição de caixa, recebíveis, pagáveis,</w:t>
      </w:r>
    </w:p>
    <w:p>
      <w:r>
        <w:t>fluxo de caixa e alertas.</w:t>
      </w:r>
    </w:p>
    <w:p>
      <w:pPr>
        <w:pStyle w:val="Heading3"/>
      </w:pPr>
      <w:r>
        <w:t>8.3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RN-GER-001</w:t>
            </w:r>
          </w:p>
        </w:tc>
        <w:tc>
          <w:tcPr>
            <w:tcW w:type="dxa" w:w="4680"/>
          </w:tcPr>
          <w:p>
            <w:r>
              <w:t>O percentual de provisão para devedores duvidosos é aplicado por faixa de atraso (aging), configurável por tenant — quanto maior o atraso, maior o percentual provisionado.</w:t>
            </w:r>
          </w:p>
        </w:tc>
      </w:tr>
      <w:tr>
        <w:tc>
          <w:tcPr>
            <w:tcW w:type="dxa" w:w="4680"/>
          </w:tcPr>
          <w:p>
            <w:r>
              <w:t>RN-GER-002</w:t>
            </w:r>
          </w:p>
        </w:tc>
        <w:tc>
          <w:tcPr>
            <w:tcW w:type="dxa" w:w="4680"/>
          </w:tcPr>
          <w:p>
            <w:r>
              <w:t>Este módulo não grava nenhum dado transacional — apenas consulta e agrega informações já registradas pelos demais módulos.</w:t>
            </w:r>
          </w:p>
        </w:tc>
      </w:tr>
    </w:tbl>
    <w:p/>
    <w:p>
      <w:pPr>
        <w:pStyle w:val="Heading3"/>
      </w:pPr>
      <w:r>
        <w:t>8.4 Telas</w:t>
      </w:r>
    </w:p>
    <w:p>
      <w:pPr>
        <w:pStyle w:val="ListBullet"/>
      </w:pPr>
      <w:r>
        <w:rPr>
          <w:b/>
        </w:rPr>
        <w:t>Aging</w:t>
      </w:r>
      <w:r>
        <w:t xml:space="preserve"> — posição de títulos por faixa de vencimento/atraso.</w:t>
      </w:r>
    </w:p>
    <w:p>
      <w:pPr>
        <w:pStyle w:val="ListBullet"/>
      </w:pPr>
      <w:r>
        <w:rPr>
          <w:b/>
        </w:rPr>
        <w:t>Inadimplência</w:t>
      </w:r>
      <w:r>
        <w:t xml:space="preserve"> — indicadores e listagem de títulos vencidos.</w:t>
      </w:r>
    </w:p>
    <w:p>
      <w:pPr>
        <w:pStyle w:val="ListBullet"/>
      </w:pPr>
      <w:r>
        <w:rPr>
          <w:b/>
        </w:rPr>
        <w:t>Posição de Títulos</w:t>
      </w:r>
      <w:r>
        <w:t xml:space="preserve"> — visão consolidada de pagar/receber.</w:t>
      </w:r>
    </w:p>
    <w:p>
      <w:pPr>
        <w:pStyle w:val="ListBullet"/>
      </w:pPr>
      <w:r>
        <w:rPr>
          <w:b/>
        </w:rPr>
        <w:t>Provisão para Devedores Duvidosos</w:t>
      </w:r>
      <w:r>
        <w:t xml:space="preserve"> — configuração de percentuais por faixa e cálculo</w:t>
      </w:r>
    </w:p>
    <w:p>
      <w:r>
        <w:t>automático.</w:t>
      </w:r>
    </w:p>
    <w:p>
      <w:pPr>
        <w:pStyle w:val="ListBullet"/>
      </w:pPr>
      <w:r>
        <w:rPr>
          <w:b/>
        </w:rPr>
        <w:t>Dashboard Executivo</w:t>
      </w:r>
      <w:r>
        <w:t xml:space="preserve"> — indicadores consolidados e alertas.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9. Perfis e Alçadas de Aprovação</w:t>
      </w:r>
    </w:p>
    <w:p>
      <w:r>
        <w:t>O controle de quem pode fazer o quê (permissões) é administrado fora do módulo Financeiro, em um serviço de autenticação e controle de acesso central — o Financeiro não mantém sua própria tabela de perfis; ele consulta as permissões do usuário logado a cada operação. Do ponto de vista de negócio, os papéis relevantes são: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Papel (exemplo)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680"/>
          </w:tcPr>
          <w:p>
            <w:r>
              <w:t>Operador financeiro</w:t>
            </w:r>
          </w:p>
        </w:tc>
        <w:tc>
          <w:tcPr>
            <w:tcW w:type="dxa" w:w="4680"/>
          </w:tcPr>
          <w:p>
            <w:r>
              <w:t>Lança títulos, registra baixas, faz conciliação, emite boletos.</w:t>
            </w:r>
          </w:p>
        </w:tc>
      </w:tr>
      <w:tr>
        <w:tc>
          <w:tcPr>
            <w:tcW w:type="dxa" w:w="4680"/>
          </w:tcPr>
          <w:p>
            <w:r>
              <w:t>Aprovador de nível 1 (ex.: gerente financeiro)</w:t>
            </w:r>
          </w:p>
        </w:tc>
        <w:tc>
          <w:tcPr>
            <w:tcW w:type="dxa" w:w="4680"/>
          </w:tcPr>
          <w:p>
            <w:r>
              <w:t>Aprova pagamentos até determinada faixa de valor, configurável por tenant.</w:t>
            </w:r>
          </w:p>
        </w:tc>
      </w:tr>
      <w:tr>
        <w:tc>
          <w:tcPr>
            <w:tcW w:type="dxa" w:w="4680"/>
          </w:tcPr>
          <w:p>
            <w:r>
              <w:t>Aprovador de nível 2 (ex.: diretor financeiro)</w:t>
            </w:r>
          </w:p>
        </w:tc>
        <w:tc>
          <w:tcPr>
            <w:tcW w:type="dxa" w:w="4680"/>
          </w:tcPr>
          <w:p>
            <w:r>
              <w:t>Aprova pagamentos acima da faixa do nível 1, ou recebe o pedido escalado quando o aprovador de nível 1 não decide a tempo.</w:t>
            </w:r>
          </w:p>
        </w:tc>
      </w:tr>
      <w:tr>
        <w:tc>
          <w:tcPr>
            <w:tcW w:type="dxa" w:w="4680"/>
          </w:tcPr>
          <w:p>
            <w:r>
              <w:t>Contador / responsável contábil</w:t>
            </w:r>
          </w:p>
        </w:tc>
        <w:tc>
          <w:tcPr>
            <w:tcW w:type="dxa" w:w="4680"/>
          </w:tcPr>
          <w:p>
            <w:r>
              <w:t>Fecha períodos contábeis, edita o plano de contas, valida demonstrações.</w:t>
            </w:r>
          </w:p>
        </w:tc>
      </w:tr>
      <w:tr>
        <w:tc>
          <w:tcPr>
            <w:tcW w:type="dxa" w:w="4680"/>
          </w:tcPr>
          <w:p>
            <w:r>
              <w:t>Administrador do tenant</w:t>
            </w:r>
          </w:p>
        </w:tc>
        <w:tc>
          <w:tcPr>
            <w:tcW w:type="dxa" w:w="4680"/>
          </w:tcPr>
          <w:p>
            <w:r>
              <w:t>Configura parâmetros financeiros, formas de pagamento, alçadas de aprovação, cadastros auxiliares.</w:t>
            </w:r>
          </w:p>
        </w:tc>
      </w:tr>
    </w:tbl>
    <w:p/>
    <w:p>
      <w:r>
        <w:t>As faixas de valor, os papéis responsáveis por cada faixa, o prazo de decisão e o que acontece se o prazo estourar (escalar ou aprovar automaticamente) são configuráveis livremente por cada tenant — não são fixos no sistema (ver §2.4).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10. Telas e Menus</w:t>
      </w:r>
    </w:p>
    <w:p>
      <w:r>
        <w:t>Este módulo separa dois grupos de configuração:</w:t>
      </w:r>
    </w:p>
    <w:p>
      <w:pPr>
        <w:pStyle w:val="Heading3"/>
      </w:pPr>
      <w:r>
        <w:t>10.1 Mantidas pela equipe da plataforma (o tenant não edita)</w:t>
      </w:r>
    </w:p>
    <w:p>
      <w:pPr>
        <w:pStyle w:val="ListBullet"/>
      </w:pPr>
      <w:r>
        <w:t>Tabelas fiscais de referência oficiais: NCM, código de situação tributária do IBS/CBS,</w:t>
      </w:r>
    </w:p>
    <w:p>
      <w:r>
        <w:t>classificações tributárias granulares, códigos de crédito presumido, alíquotas de CBS por regime e ano, alíquotas de IBS por município e ano, alíquotas do Imposto Seletivo, regimes diferenciados por NCM/serviço, cronograma de vigência da transição tributária.</w:t>
      </w:r>
    </w:p>
    <w:p>
      <w:pPr>
        <w:pStyle w:val="ListBullet"/>
      </w:pPr>
      <w:r>
        <w:t>Feriados nacionais e estaduais de base.</w:t>
      </w:r>
    </w:p>
    <w:p>
      <w:pPr>
        <w:pStyle w:val="ListBullet"/>
      </w:pPr>
      <w:r>
        <w:t>Modelo (template) do plano de contas, com controle de versão.</w:t>
      </w:r>
    </w:p>
    <w:p>
      <w:pPr>
        <w:pStyle w:val="Heading3"/>
      </w:pPr>
      <w:r>
        <w:t>10.2 Configuradas pelo próprio tenant, dentro do ERP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Tela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 que o usuário faz</w:t>
            </w:r>
          </w:p>
        </w:tc>
      </w:tr>
      <w:tr>
        <w:tc>
          <w:tcPr>
            <w:tcW w:type="dxa" w:w="3120"/>
          </w:tcPr>
          <w:p>
            <w:r>
              <w:t>Fiscal</w:t>
            </w:r>
          </w:p>
        </w:tc>
        <w:tc>
          <w:tcPr>
            <w:tcW w:type="dxa" w:w="3120"/>
          </w:tcPr>
          <w:p>
            <w:r>
              <w:t>Dados Fiscais da Empresa</w:t>
            </w:r>
          </w:p>
        </w:tc>
        <w:tc>
          <w:tcPr>
            <w:tcW w:type="dxa" w:w="3120"/>
          </w:tcPr>
          <w:p>
            <w:r>
              <w:t>Define regime tributário, código de regime, inscrições, opção pelo Simples.</w:t>
            </w:r>
          </w:p>
        </w:tc>
      </w:tr>
      <w:tr>
        <w:tc>
          <w:tcPr>
            <w:tcW w:type="dxa" w:w="3120"/>
          </w:tcPr>
          <w:p>
            <w:r>
              <w:t>Financeiro</w:t>
            </w:r>
          </w:p>
        </w:tc>
        <w:tc>
          <w:tcPr>
            <w:tcW w:type="dxa" w:w="3120"/>
          </w:tcPr>
          <w:p>
            <w:r>
              <w:t>Parâmetros Financeiros</w:t>
            </w:r>
          </w:p>
        </w:tc>
        <w:tc>
          <w:tcPr>
            <w:tcW w:type="dxa" w:w="3120"/>
          </w:tcPr>
          <w:p>
            <w:r>
              <w:t>Define tipo de ajuste padrão, tolerância de conciliação, regras de baixa retroativa.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Formas de Pagamento</w:t>
            </w:r>
          </w:p>
        </w:tc>
        <w:tc>
          <w:tcPr>
            <w:tcW w:type="dxa" w:w="3120"/>
          </w:tcPr>
          <w:p>
            <w:r>
              <w:t>Regras de cálculo de vencimento.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Tipos de Título / Ajuste / Baixa</w:t>
            </w:r>
          </w:p>
        </w:tc>
        <w:tc>
          <w:tcPr>
            <w:tcW w:type="dxa" w:w="3120"/>
          </w:tcPr>
          <w:p>
            <w:r>
              <w:t>Parametrização do comportamento dos títulos.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Classificações Financeiras</w:t>
            </w:r>
          </w:p>
        </w:tc>
        <w:tc>
          <w:tcPr>
            <w:tcW w:type="dxa" w:w="3120"/>
          </w:tcPr>
          <w:p>
            <w:r>
              <w:t>Agrupamento livre para relatórios.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Motivos</w:t>
            </w:r>
          </w:p>
        </w:tc>
        <w:tc>
          <w:tcPr>
            <w:tcW w:type="dxa" w:w="3120"/>
          </w:tcPr>
          <w:p>
            <w:r>
              <w:t>Justificativas de cancelamento/prorrogação/parcelamento.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Centros de Custo e Rateios</w:t>
            </w:r>
          </w:p>
        </w:tc>
        <w:tc>
          <w:tcPr>
            <w:tcW w:type="dxa" w:w="3120"/>
          </w:tcPr>
          <w:p>
            <w:r>
              <w:t>Estrutura analítica por área/projeto.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Bancos e Contas Correntes</w:t>
            </w:r>
          </w:p>
        </w:tc>
        <w:tc>
          <w:tcPr>
            <w:tcW w:type="dxa" w:w="3120"/>
          </w:tcPr>
          <w:p>
            <w:r>
              <w:t>Cadastro bancário do tenant.</w:t>
            </w:r>
          </w:p>
        </w:tc>
      </w:tr>
      <w:tr>
        <w:tc>
          <w:tcPr>
            <w:tcW w:type="dxa" w:w="3120"/>
          </w:tcPr>
          <w:p>
            <w:r>
              <w:t>Configurações</w:t>
            </w:r>
          </w:p>
        </w:tc>
        <w:tc>
          <w:tcPr>
            <w:tcW w:type="dxa" w:w="3120"/>
          </w:tcPr>
          <w:p>
            <w:r>
              <w:t>Cobrança</w:t>
            </w:r>
          </w:p>
        </w:tc>
        <w:tc>
          <w:tcPr>
            <w:tcW w:type="dxa" w:w="3120"/>
          </w:tcPr>
          <w:p>
            <w:r>
              <w:t>Parâmetros de emissão de boleto por conta.</w:t>
            </w:r>
          </w:p>
        </w:tc>
      </w:tr>
      <w:tr>
        <w:tc>
          <w:tcPr>
            <w:tcW w:type="dxa" w:w="3120"/>
          </w:tcPr>
          <w:p>
            <w:r>
              <w:t>Configurações</w:t>
            </w:r>
          </w:p>
        </w:tc>
        <w:tc>
          <w:tcPr>
            <w:tcW w:type="dxa" w:w="3120"/>
          </w:tcPr>
          <w:p>
            <w:r>
              <w:t>Feriados Municipais</w:t>
            </w:r>
          </w:p>
        </w:tc>
        <w:tc>
          <w:tcPr>
            <w:tcW w:type="dxa" w:w="3120"/>
          </w:tcPr>
          <w:p>
            <w:r>
              <w:t>Feriados específicos da praça do tenant.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Estabelecimentos/Filiais</w:t>
            </w:r>
          </w:p>
        </w:tc>
        <w:tc>
          <w:tcPr>
            <w:tcW w:type="dxa" w:w="3120"/>
          </w:tcPr>
          <w:p>
            <w:r>
              <w:t>Matriz (criada automaticamente na ativação) e filiais.</w:t>
            </w:r>
          </w:p>
        </w:tc>
      </w:tr>
      <w:tr>
        <w:tc>
          <w:tcPr>
            <w:tcW w:type="dxa" w:w="3120"/>
          </w:tcPr>
          <w:p>
            <w:r>
              <w:t>Cadastros</w:t>
            </w:r>
          </w:p>
        </w:tc>
        <w:tc>
          <w:tcPr>
            <w:tcW w:type="dxa" w:w="3120"/>
          </w:tcPr>
          <w:p>
            <w:r>
              <w:t>Plano de Contas</w:t>
            </w:r>
          </w:p>
        </w:tc>
        <w:tc>
          <w:tcPr>
            <w:tcW w:type="dxa" w:w="3120"/>
          </w:tcPr>
          <w:p>
            <w:r>
              <w:t>Cópia editável do modelo oficial.</w:t>
            </w:r>
          </w:p>
        </w:tc>
      </w:tr>
      <w:tr>
        <w:tc>
          <w:tcPr>
            <w:tcW w:type="dxa" w:w="3120"/>
          </w:tcPr>
          <w:p>
            <w:r>
              <w:t>Configurações</w:t>
            </w:r>
          </w:p>
        </w:tc>
        <w:tc>
          <w:tcPr>
            <w:tcW w:type="dxa" w:w="3120"/>
          </w:tcPr>
          <w:p>
            <w:r>
              <w:t>Mapeamento Contábil</w:t>
            </w:r>
          </w:p>
        </w:tc>
        <w:tc>
          <w:tcPr>
            <w:tcW w:type="dxa" w:w="3120"/>
          </w:tcPr>
          <w:p>
            <w:r>
              <w:t>De/para entre eventos financeiros e contas contábeis.</w:t>
            </w:r>
          </w:p>
        </w:tc>
      </w:tr>
      <w:tr>
        <w:tc>
          <w:tcPr>
            <w:tcW w:type="dxa" w:w="3120"/>
          </w:tcPr>
          <w:p>
            <w:r>
              <w:t>Contabilidade</w:t>
            </w:r>
          </w:p>
        </w:tc>
        <w:tc>
          <w:tcPr>
            <w:tcW w:type="dxa" w:w="3120"/>
          </w:tcPr>
          <w:p>
            <w:r>
              <w:t>Períodos</w:t>
            </w:r>
          </w:p>
        </w:tc>
        <w:tc>
          <w:tcPr>
            <w:tcW w:type="dxa" w:w="3120"/>
          </w:tcPr>
          <w:p>
            <w:r>
              <w:t>Consulta de status e fechamento.</w:t>
            </w:r>
          </w:p>
        </w:tc>
      </w:tr>
      <w:tr>
        <w:tc>
          <w:tcPr>
            <w:tcW w:type="dxa" w:w="3120"/>
          </w:tcPr>
          <w:p>
            <w:r>
              <w:t>Fluxo de Caixa</w:t>
            </w:r>
          </w:p>
        </w:tc>
        <w:tc>
          <w:tcPr>
            <w:tcW w:type="dxa" w:w="3120"/>
          </w:tcPr>
          <w:p>
            <w:r>
              <w:t>Orçamento</w:t>
            </w:r>
          </w:p>
        </w:tc>
        <w:tc>
          <w:tcPr>
            <w:tcW w:type="dxa" w:w="3120"/>
          </w:tcPr>
          <w:p>
            <w:r>
              <w:t>Lançamento de valores orçados.</w:t>
            </w:r>
          </w:p>
        </w:tc>
      </w:tr>
      <w:tr>
        <w:tc>
          <w:tcPr>
            <w:tcW w:type="dxa" w:w="3120"/>
          </w:tcPr>
          <w:p>
            <w:r>
              <w:t>Configurações</w:t>
            </w:r>
          </w:p>
        </w:tc>
        <w:tc>
          <w:tcPr>
            <w:tcW w:type="dxa" w:w="3120"/>
          </w:tcPr>
          <w:p>
            <w:r>
              <w:t>Provisão para Devedores Duvidosos</w:t>
            </w:r>
          </w:p>
        </w:tc>
        <w:tc>
          <w:tcPr>
            <w:tcW w:type="dxa" w:w="3120"/>
          </w:tcPr>
          <w:p>
            <w:r>
              <w:t>Percentuais por faixa de aging.</w:t>
            </w:r>
          </w:p>
        </w:tc>
      </w:tr>
    </w:tbl>
    <w:p/>
    <w:p>
      <w:pPr>
        <w:pStyle w:val="Heading3"/>
      </w:pPr>
      <w:r>
        <w:t>10.3 Telas geradas automaticamente pela operação (só consulta, sem cadastro direto)</w:t>
      </w:r>
    </w:p>
    <w:p>
      <w:r>
        <w:t>Título, baixa, ajuste, movimentação bancária, extrato importado, boleto, arquivos de remessa/retorno, boletos DDA, cheques, aplicações financeiras, empréstimos, compensações, saldos de adiantamento, resultado da apuração fiscal, apuração mensal, lançamentos contábeis e trilha de auditoria — todos criados/atualizados automaticamente pelas operações descritas nos módulos acima.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11. Pontos em Aberto / Decisões Pendentes</w:t>
      </w:r>
    </w:p>
    <w:p>
      <w:r>
        <w:t xml:space="preserve">Itens que a Fin.md registra explicitamente como </w:t>
      </w:r>
      <w:r>
        <w:rPr>
          <w:b/>
        </w:rPr>
        <w:t>fora do escopo desta revisão</w:t>
      </w:r>
      <w:r>
        <w:t xml:space="preserve"> ou </w:t>
      </w:r>
      <w:r>
        <w:rPr>
          <w:b/>
        </w:rPr>
        <w:t>dependentes de fatores externos</w:t>
      </w:r>
      <w:r>
        <w:t xml:space="preserve"> — não implementados nem detalhados nesta spec.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Alíquotas de IBS por município</w:t>
            </w:r>
          </w:p>
        </w:tc>
        <w:tc>
          <w:tcPr>
            <w:tcW w:type="dxa" w:w="4680"/>
          </w:tcPr>
          <w:p>
            <w:r>
              <w:t>Único bloqueante real para colocar o motor fiscal em produção — depende da publicação oficial do Comitê Gestor do IBS (CGIBS). Enquanto isso, o sistema usa um valor de teste para 2026.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Alíquotas do Imposto Seletivo</w:t>
            </w:r>
          </w:p>
        </w:tc>
        <w:tc>
          <w:tcPr>
            <w:tcW w:type="dxa" w:w="4680"/>
          </w:tcPr>
          <w:p>
            <w:r>
              <w:t>A lista de produtos sujeitos ao IS já está mapeada, mas os percentuais exatos ainda aguardam regulamentação.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SPED / EFD-Contribuições, ECD, ECF, EFD ICMS-IPI</w:t>
            </w:r>
          </w:p>
        </w:tc>
        <w:tc>
          <w:tcPr>
            <w:tcW w:type="dxa" w:w="4680"/>
          </w:tcPr>
          <w:p>
            <w:r>
              <w:t>Decisão de escopo tomada (ver §3.10): dispensados para tenant do Simples Nacional (MVP); viram Fase 2 para tenants Lucro Presumido/Real. A fundação contábil (Livro Diário sem lacunas, fechamento imutável, de-para opcional com plano referencial da RFB) já nasce pronta para essa evolução.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DCTFWeb e geração de DARF</w:t>
            </w:r>
          </w:p>
        </w:tc>
        <w:tc>
          <w:tcPr>
            <w:tcW w:type="dxa" w:w="4680"/>
          </w:tcPr>
          <w:p>
            <w:r>
              <w:t>Fora do escopo — é consequência automática do que já foi declarado via EFD-Reinf/eSocial no portal da Receita; as guias geradas hoje cobrem apenas o recolhimento operacional (títulos a pagar).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Nova declaração de IBS/CBS</w:t>
            </w:r>
          </w:p>
        </w:tc>
        <w:tc>
          <w:tcPr>
            <w:tcW w:type="dxa" w:w="4680"/>
          </w:tcPr>
          <w:p>
            <w:r>
              <w:t>Obrigação acessória ainda não definida pelo órgão gestor — fora do escopo.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Módulo fiscal legado (ICMS/ISS/PIS/Cofins)</w:t>
            </w:r>
          </w:p>
        </w:tc>
        <w:tc>
          <w:tcPr>
            <w:tcW w:type="dxa" w:w="4680"/>
          </w:tcPr>
          <w:p>
            <w:r>
              <w:t>Tratado apenas como convivência durante a transição; o detalhamento operacional completo (livros fiscais do regime atual) é uma spec separada.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Faturamento recorrente (assinatura/contrato) como origem automática de título a receber</w:t>
            </w:r>
          </w:p>
        </w:tc>
        <w:tc>
          <w:tcPr>
            <w:tcW w:type="dxa" w:w="4680"/>
          </w:tcPr>
          <w:p>
            <w:r>
              <w:t>Reservado para uma fase futura — não entra nesta versão.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Taxas de adquirência de cartão e agenda de recebíveis no contas a receber</w:t>
            </w:r>
          </w:p>
        </w:tc>
        <w:tc>
          <w:tcPr>
            <w:tcW w:type="dxa" w:w="4680"/>
          </w:tcPr>
          <w:p>
            <w:r>
              <w:t>Fora do desenho aprovado até o momento — marcado como possível evolução futura.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Entrada de nota fiscal por múltiplos canais</w:t>
            </w:r>
            <w:r>
              <w:t xml:space="preserve"> (portal do fornecedor, leitura óptica de PDF, troca eletrônica de dados)</w:t>
            </w:r>
          </w:p>
        </w:tc>
        <w:tc>
          <w:tcPr>
            <w:tcW w:type="dxa" w:w="4680"/>
          </w:tcPr>
          <w:p>
            <w:r>
              <w:t>Fora de escopo desta versão — a entrada de nota fiscal continua sendo automática (via integração eletrônica) ou manual.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Conferência cruzada entre pedido de compra, recebimento físico e nota fiscal, com bloqueio automático de pagamento em caso de divergência</w:t>
            </w:r>
          </w:p>
        </w:tc>
        <w:tc>
          <w:tcPr>
            <w:tcW w:type="dxa" w:w="4680"/>
          </w:tcPr>
          <w:p>
            <w:r>
              <w:t>Depende de um futuro módulo de Compras; hoje o bloqueio de pagamento existe, mas é sempre acionado manualmente. Requisitos já capturados para essa fase: parâmetro por empresa definindo a fonte da condição de pagamento (ordem de compra ou nota do fornecedor), com alerta obrigatório ao operador em caso de divergência; e alçada de aprovação na própria ordem de compra — pagamento cuja ordem já foi aprovada pela mesma alçada nasce liberado, sem reaprovação.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Adiantamento vinculado a operação com limite</w:t>
            </w:r>
          </w:p>
        </w:tc>
        <w:tc>
          <w:tcPr>
            <w:tcW w:type="dxa" w:w="4680"/>
          </w:tcPr>
          <w:p>
            <w:r>
              <w:t>O uso de adiantamento em baixas e a devolução de adiantamento estão especificados (RN-AP-007/013/016). O modelo em que notas fiscais subsequentes consomem o saldo automaticamente, sem gerar título, com trava de emissão ao esgotar o limite acordado, depende do futuro módulo de pedidos/faturamento.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API bancária direta (registro instantâneo de boleto com QR PIX) e VAN bancária</w:t>
            </w:r>
          </w:p>
        </w:tc>
        <w:tc>
          <w:tcPr>
            <w:tcW w:type="dxa" w:w="4680"/>
          </w:tcPr>
          <w:p>
            <w:r>
              <w:t>Evolução planejada da Tesouraria: mesmos boletos e mesmas baixas, mudando apenas o canal de comunicação com o banco (API em vez de arquivo de remessa/retorno).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Motor de importação de dados (migração de outros sistemas)</w:t>
            </w:r>
          </w:p>
        </w:tc>
        <w:tc>
          <w:tcPr>
            <w:tcW w:type="dxa" w:w="4680"/>
          </w:tcPr>
          <w:p>
            <w:r>
              <w:t>Módulo transversal futuro, com especificação própria: templates de importação por área (cadastros, títulos em aberto, plano de contas, saldos) para o onboarding de clientes vindos de outros ERPs.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Detalhamento campo a campo dos arquivos bancários (CNAB) por banco</w:t>
            </w:r>
          </w:p>
        </w:tc>
        <w:tc>
          <w:tcPr>
            <w:tcW w:type="dxa" w:w="4680"/>
          </w:tcPr>
          <w:p>
            <w:r>
              <w:t>O padrão nacional (FEBRABAN 240) está detalhado campo a campo na spec técnica, com banco piloto definido e plano de homologação; bancos adicionais entram como ajustes pontuais sob demanda, sempre com homologação prévia.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Revisão formal do plano de contas por um contador</w:t>
            </w:r>
          </w:p>
        </w:tc>
        <w:tc>
          <w:tcPr>
            <w:tcW w:type="dxa" w:w="4680"/>
          </w:tcPr>
          <w:p>
            <w:r>
              <w:t>Hoje é opcional/qualidade — não é pré-requisito para a operação. Recomendável ainda assim, antes de uso extensivo em produção.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Split payment — mecânica definitiva</w:t>
            </w:r>
          </w:p>
        </w:tc>
        <w:tc>
          <w:tcPr>
            <w:tcW w:type="dxa" w:w="4680"/>
          </w:tcPr>
          <w:p>
            <w:r>
              <w:t>O modelo adotado ("split inteligente") é uma simplificação a ser confrontada com a regulamentação final do Comitê Gestor antes de 2027.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Zona Franca de Manaus</w:t>
            </w:r>
          </w:p>
        </w:tc>
        <w:tc>
          <w:tcPr>
            <w:tcW w:type="dxa" w:w="4680"/>
          </w:tcPr>
          <w:p>
            <w:r>
              <w:t>Regra de benefício fiscal descrita em alto nível — caso de alta especificidade que precisa de validação de especialista antes de entrar em produção.</w:t>
            </w:r>
          </w:p>
        </w:tc>
      </w:tr>
    </w:tbl>
    <w:p/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12. Cenários de Aceitação (exemplos numéricos)</w:t>
      </w:r>
    </w:p>
    <w:p>
      <w:pPr>
        <w:pStyle w:val="IntenseQuote"/>
      </w:pPr>
      <w:r>
        <w:t>Cenários de referência para validação de negócio e para os testes de aceitação. Cada um</w:t>
      </w:r>
    </w:p>
    <w:p>
      <w:pPr>
        <w:pStyle w:val="IntenseQuote"/>
      </w:pPr>
      <w:r>
        <w:t>exercita as regras indicadas entre parênteses, com valores concretos. Percentuais de multa,</w:t>
      </w:r>
    </w:p>
    <w:p>
      <w:pPr>
        <w:pStyle w:val="IntenseQuote"/>
      </w:pPr>
      <w:r>
        <w:t>mora e PDD usam os padrões sugeridos — em produção valem os configurados pelo tenant.</w:t>
      </w:r>
    </w:p>
    <w:p>
      <w:r>
        <w:rPr>
          <w:b/>
        </w:rPr>
        <w:t>CA-01 — Baixa em atraso com multa e mora (RN-AP-012).</w:t>
      </w:r>
      <w:r>
        <w:t xml:space="preserve"> Título de R$ 1.000,00 vence em 10/03; é pago em 09/04 (30 dias de atraso). O sistema sugere multa de 2% = R$ 20,00 e mora de 1% a.m. proporcional (30/30 dias) = R$ 10,00 → total sugerido R$ 1.030,00. O operador pode ajustar antes de confirmar.</w:t>
      </w:r>
    </w:p>
    <w:p>
      <w:r>
        <w:rPr>
          <w:b/>
        </w:rPr>
        <w:t>CA-02 — Estorno de baixa confirmada (RN-AP-011).</w:t>
      </w:r>
      <w:r>
        <w:t xml:space="preserve"> Título de R$ 500,00 baixado integralmente (baixa real) → status Baixado. O estorno cria uma </w:t>
      </w:r>
      <w:r>
        <w:rPr>
          <w:b/>
        </w:rPr>
        <w:t>nova</w:t>
      </w:r>
      <w:r>
        <w:t xml:space="preserve"> baixa de −R$ 500,00 (a original é preservada); o saldo volta a R$ 500,00 e o título retorna a Em Aberto. A baixa de estorno não pode ser estornada.</w:t>
      </w:r>
    </w:p>
    <w:p>
      <w:r>
        <w:rPr>
          <w:b/>
        </w:rPr>
        <w:t>CA-03 — Um recebimento quita vários títulos (RN-AR-007, RN-AR-005).</w:t>
      </w:r>
      <w:r>
        <w:t xml:space="preserve"> O cliente paga R$ 1.700,00 de uma vez; há três títulos em aberto: A R$ 600,00 (venc. 10/01), B R$ 700,00 (10/02), C R$ 300,00 (10/03). Alocação por vencimento: A 600 + B 700 + C 300 = R$ 1.600,00 — uma baixa por título. A sobra de R$ 100,00 vira adiantamento (crédito) do cliente.</w:t>
      </w:r>
    </w:p>
    <w:p>
      <w:r>
        <w:rPr>
          <w:b/>
        </w:rPr>
        <w:t>CA-04 — Baixas parciais sucessivas (RN-AR-008).</w:t>
      </w:r>
      <w:r>
        <w:t xml:space="preserve"> Título de R$ 1.000,00 vencido em 10/01. Primeira baixa parcial de R$ 400,00 em 20/01: mora calculada sobre o saldo de R$ 1.000,00 (1% × 10/30 = R$ 3,33). Segunda baixa em 19/02 quitando o restante: mora calculada sobre o </w:t>
      </w:r>
      <w:r>
        <w:rPr>
          <w:b/>
        </w:rPr>
        <w:t>saldo residual</w:t>
      </w:r>
      <w:r>
        <w:t xml:space="preserve"> de R$ 600,00 na data (1% × 40/30 = R$ 8,00) — nunca sobre o valor original. O título só passa a Baixado quando o saldo zera.</w:t>
      </w:r>
    </w:p>
    <w:p>
      <w:r>
        <w:rPr>
          <w:b/>
        </w:rPr>
        <w:t>CA-05 — Rateio com diferença de centavos (RN-FUND-017).</w:t>
      </w:r>
      <w:r>
        <w:t xml:space="preserve"> Rateio 33,33% TI / 33,33% Vendas / 33,34% Adm sobre título de R$ 50,00: as parcelas arredondadas dariam 16,67 + 16,67 + 16,67 = R$ 50,01. A diferença de −R$ 0,01 é absorvida pelo centro de maior percentual (Adm) → 16,67 + 16,67 + </w:t>
      </w:r>
      <w:r>
        <w:rPr>
          <w:b/>
        </w:rPr>
        <w:t>16,66</w:t>
      </w:r>
      <w:r>
        <w:t xml:space="preserve"> = R$ 50,00 exato.</w:t>
      </w:r>
    </w:p>
    <w:p>
      <w:r>
        <w:rPr>
          <w:b/>
        </w:rPr>
        <w:t>CA-06 — Baixa por adiantamento sem desconto duplicado (RN-AP-007, RN-AP-013).</w:t>
      </w:r>
      <w:r>
        <w:t xml:space="preserve"> Fornecedor tem adiantamento de R$ 200,00. Título de R$ 1.000,00 recebe baixa por adiantamento de R$ 200,00 → saldo passa a R$ 800,00 (não R$ 600,00 — nenhum desconto adicional é criado) e o saldo de adiantamento zera. O adiantamento não pode baixar título de outro fornecedor.</w:t>
      </w:r>
    </w:p>
    <w:p>
      <w:r>
        <w:rPr>
          <w:b/>
        </w:rPr>
        <w:t>CA-07 — Compensação parcial (RN-CO-002, RN-CO-003).</w:t>
      </w:r>
      <w:r>
        <w:t xml:space="preserve"> Mesmo CNPJ: título a pagar de R$ 800,00 e a receber de R$ 500,00 → compensável no máximo R$ 500,00. Uma compensação parcial de R$ 300,00 deixa R$ 500,00 em aberto no pagar e R$ 200,00 no receber.</w:t>
      </w:r>
    </w:p>
    <w:p>
      <w:r>
        <w:rPr>
          <w:b/>
        </w:rPr>
        <w:t>CA-08 — Retenções na fonte no pagamento (RN-AP-014, RN-MF-018).</w:t>
      </w:r>
      <w:r>
        <w:t xml:space="preserve"> NFS-e de R$ 10.000,00 de serviço com cessão de mão de obra, prestador PJ: INSS 11% = R$ 1.100,00 (competência pela </w:t>
      </w:r>
      <w:r>
        <w:rPr>
          <w:b/>
        </w:rPr>
        <w:t>emissão</w:t>
      </w:r>
      <w:r>
        <w:t xml:space="preserve"> da nota) e IRRF 1,5% = R$ 150,00 (competência pelo </w:t>
      </w:r>
      <w:r>
        <w:rPr>
          <w:b/>
        </w:rPr>
        <w:t>pagamento</w:t>
      </w:r>
      <w:r>
        <w:t>). O fornecedor recebe R$ 8.750,00; o título fecha com 8.750 + 1.100 + 150 = R$ 10.000,00. Os valores retidos viram obrigação do tenant, agrupados na guia mensal por tributo/código de receita, e entram no relatório de apoio à EFD-Reinf.</w:t>
      </w:r>
    </w:p>
    <w:p>
      <w:r>
        <w:rPr>
          <w:b/>
        </w:rPr>
        <w:t>CA-09 — Retenção sofrida no recebimento (RN-AR-006).</w:t>
      </w:r>
      <w:r>
        <w:t xml:space="preserve"> Nota de R$ 2.000,00; o cliente retém IRRF 1,5% = R$ 30,00 e deposita R$ 1.970,00. O título fecha com a baixa de R$ 1.970,00 mais uma baixa "por retenção" de R$ 30,00 — que vira crédito tributário a recuperar (o caixa nunca recebe esses R$ 30,00).</w:t>
      </w:r>
    </w:p>
    <w:p>
      <w:r>
        <w:rPr>
          <w:b/>
        </w:rPr>
        <w:t>CA-10 — Trava de competência retroativa (RN-AP-015).</w:t>
      </w:r>
      <w:r>
        <w:t xml:space="preserve"> Maio/2026 está fechado. Em 07/07/2026 um operador (mesmo administrador) tenta registrar uma baixa com data 15/05/2026 → </w:t>
      </w:r>
      <w:r>
        <w:rPr>
          <w:b/>
        </w:rPr>
        <w:t>bloqueado</w:t>
      </w:r>
      <w:r>
        <w:t>. A correção é feita por lançamento de ajuste na competência aberta (julho); o período fechado permanece imutável.</w:t>
      </w:r>
    </w:p>
    <w:p>
      <w:r>
        <w:rPr>
          <w:b/>
        </w:rPr>
        <w:t>CA-11 — Split payment na liquidação (RN-MF-005, §3.7).</w:t>
      </w:r>
      <w:r>
        <w:t xml:space="preserve"> Venda de R$ 1.000,00 paga via PIX em 2027, com IBS+CBS destacados de R$ 264,20. O título é baixado pelo </w:t>
      </w:r>
      <w:r>
        <w:rPr>
          <w:b/>
        </w:rPr>
        <w:t>bruto</w:t>
      </w:r>
      <w:r>
        <w:t xml:space="preserve"> (R$ 1.000,00 → Baixado); o caixa recebe o </w:t>
      </w:r>
      <w:r>
        <w:rPr>
          <w:b/>
        </w:rPr>
        <w:t>líquido</w:t>
      </w:r>
      <w:r>
        <w:t xml:space="preserve"> R$ 735,80; os R$ 264,20 retidos vão para a conta transitória de tributos recolhidos na liquidação. A conciliação bancária casa exatamente com R$ 735,80; o acerto da transitória ocorre na apuração mensal.</w:t>
      </w:r>
    </w:p>
    <w:p>
      <w:r>
        <w:rPr>
          <w:b/>
        </w:rPr>
        <w:t>CA-12 — Boleto rejeitado pelo banco (RN-TES-009).</w:t>
      </w:r>
      <w:r>
        <w:t xml:space="preserve"> O retorno bancário traz rejeição (CPF do sacado inválido): o boleto volta a Emitido, um alerta crítico entra na fila até ser tratado, e o </w:t>
      </w:r>
      <w:r>
        <w:rPr>
          <w:b/>
        </w:rPr>
        <w:t>título permanece Em Aberto</w:t>
      </w:r>
      <w:r>
        <w:t xml:space="preserve"> — o problema é do boleto, nunca trava o recebível. Após corrigir o cadastro, o operador reemite.</w:t>
      </w:r>
    </w:p>
    <w:p>
      <w:r>
        <w:rPr>
          <w:b/>
        </w:rPr>
        <w:t>CA-13 — Liquidação parcial de boleto (RN-TES-010).</w:t>
      </w:r>
      <w:r>
        <w:t xml:space="preserve"> Boleto de R$ 1.000,00; o retorno informa pagamento de R$ 600,00 → baixa parcial planejada de R$ 600,00 (vira real na conciliação); o título fica em aberto com saldo de R$ 400,00 e o boleto pode ser reapresentado pelo residual.</w:t>
      </w:r>
    </w:p>
    <w:p>
      <w:r>
        <w:rPr>
          <w:b/>
        </w:rPr>
        <w:t>CA-14 — PDD por faixa de aging (RN-GER-001).</w:t>
      </w:r>
      <w:r>
        <w:t xml:space="preserve"> Carteira a receber: R$ 10.000,00 não vencido (0,5% → R$ 50,00), R$ 2.000,00 vencidos até 30 dias (3% → R$ 60,00), R$ 1.000,00 acima de 90 dias (50% → R$ 500,00). PDD total = R$ 610,00 → alimenta o lançamento de despesa contra a conta redutora (quando o tenant contabiliza a provisão). </w:t>
      </w:r>
      <w:r>
        <w:rPr>
          <w:b/>
        </w:rPr>
        <w:t>Nenhum título tem o saldo alterado</w:t>
      </w:r>
      <w:r>
        <w:t xml:space="preserve"> — é estimativa de perda, não baixa.</w:t>
      </w:r>
    </w:p>
    <w:p>
      <w:r>
        <w:rPr>
          <w:b/>
        </w:rPr>
        <w:t>CA-15 — Cancelamento de nota com baixa efetiva (RN-FUND-007).</w:t>
      </w:r>
      <w:r>
        <w:t xml:space="preserve"> NF de saída gera 3 parcelas de R$ 500,00; a parcela 1 já foi recebida (baixa real). O cancelamento da NF é </w:t>
      </w:r>
      <w:r>
        <w:rPr>
          <w:b/>
        </w:rPr>
        <w:t>bloqueado</w:t>
      </w:r>
      <w:r>
        <w:t xml:space="preserve"> e um alerta é enviado ao financeiro para tratamento manual (estorno/nota de crédito). Se nenhuma baixa real existisse, as 3 parcelas seriam canceladas automaticamente.</w:t>
      </w:r>
    </w:p>
    <w:p>
      <w:r>
        <w:rPr>
          <w:b/>
        </w:rPr>
        <w:t>CA-16 — Reversão contábil do estorno (RN-CONT-008).</w:t>
      </w:r>
      <w:r>
        <w:t xml:space="preserve"> A baixa de R$ 500,00 gerou o lançamento D Fornecedores / C Banco. O estorno da baixa gera automaticamente o lançamento invertido D Banco / C Fornecedores de R$ 500,00; o lançamento original é marcado como "estornado" (nunca apagado). Se o original está em competência já fechada, a reversão entra na competência aberta atual com histórico referenciando o lançamento e a competência originais.</w:t>
      </w:r>
    </w:p>
    <w:p>
      <w:pPr>
        <w:spacing w:before="80" w:after="200"/>
        <w:pBdr>
          <w:bottom w:val="single" w:sz="6" w:space="1" w:color="A0A0A0"/>
        </w:pBdr>
      </w:pPr>
    </w:p>
    <w:p>
      <w:r>
        <w:t>*Fim do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Fernandes Ferreira</dc:creator>
  <cp:keywords/>
  <dc:description/>
  <cp:lastModifiedBy>Vitor Fernandes Ferreira</cp:lastModifiedBy>
  <cp:revision>1</cp:revision>
  <dcterms:created xsi:type="dcterms:W3CDTF">2026-09-08T14:19:40Z</dcterms:created>
  <dcterms:modified xsi:type="dcterms:W3CDTF">2026-09-08T14:19:40Z</dcterms:modified>
  <cp:category/>
</cp:coreProperties>
</file>