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m="http://schemas.openxmlformats.org/officeDocument/2006/math" mc:Ignorable="w14 wp14">
  <w:body>
    <w:p>
      <w:pPr>
        <w:pStyle w:val="Heading1"/>
      </w:pPr>
      <w:r>
        <w:rPr/>
        <w:t xml:space="preserve">O2C — Vendas: visão funcional</w:t>
      </w:r>
    </w:p>
    <w:p>
      <w:pPr/>
      <w:r>
        <w:rPr>
          <w:b/>
          <w:bCs/>
        </w:rPr>
        <w:t xml:space="preserve">Status:</w:t>
      </w:r>
      <w:r>
        <w:rPr/>
        <w:t xml:space="preserve"> decisões fechadas · </w:t>
      </w:r>
      <w:r>
        <w:rPr>
          <w:b/>
          <w:bCs/>
        </w:rPr>
        <w:t xml:space="preserve">Data:</w:t>
      </w:r>
      <w:r>
        <w:rPr/>
        <w:t xml:space="preserve"> 2026-07-11 · </w:t>
      </w:r>
      <w:r>
        <w:rPr>
          <w:b/>
          <w:bCs/>
        </w:rPr>
        <w:t xml:space="preserve">Módulo:</w:t>
      </w:r>
      <w:r>
        <w:rPr/>
        <w:t xml:space="preserve"> </w:t>
      </w:r>
      <w:r>
        <w:rPr>
          <w:rStyle w:val="VerbatimChar"/>
        </w:rPr>
        <w:t xml:space="preserve">operacoes-service</w:t>
      </w:r>
      <w:r>
        <w:rPr/>
        <w:t xml:space="preserve"> (microsserviço único, também dono de compras e estoque)</w:t>
      </w:r>
    </w:p>
    <w:p>
      <w:pPr>
        <w:pStyle w:val="Quote"/>
      </w:pPr>
      <w:r>
        <w:rPr/>
        <w:t xml:space="preserve">Este documento descreve o processo de venda em linguagem de negócio — sem schema de banco, endpoint ou detalhe técnico. Para a implementação, ver </w:t>
      </w:r>
      <w:r>
        <w:rPr>
          <w:rStyle w:val="VerbatimChar"/>
        </w:rPr>
        <w:t xml:space="preserve">spec/o2c-vendas.md</w:t>
      </w:r>
      <w:r>
        <w:rPr/>
        <w:t xml:space="preserve">.</w:t>
      </w:r>
    </w:p>
    <w:p>
      <w:pPr>
        <w:pBdr>
          <w:bottom w:val="single" w:sz="6" w:space="0" w:color="000000"/>
        </w:pBdr>
      </w:pPr>
    </w:p>
    <w:p>
      <w:pPr/>
    </w:p>
    <w:p>
      <w:pPr>
        <w:pStyle w:val="Heading2"/>
      </w:pPr>
      <w:r>
        <w:rPr/>
        <w:t xml:space="preserve">Objetivo</w:t>
      </w:r>
    </w:p>
    <w:p>
      <w:pPr/>
      <w:r>
        <w:rPr/>
        <w:t xml:space="preserve">Levar uma venda do orçamento até o faturamento, aplicando o preço correto (motor de preço), verificando crédito do cliente, e entregando ao financeiro um título a receber pronto para cobrança.</w:t>
      </w:r>
    </w:p>
    <w:p>
      <w:pPr>
        <w:pStyle w:val="Heading2"/>
      </w:pPr>
      <w:r>
        <w:rPr/>
        <w:t xml:space="preserve">O fluxo, passo a passo</w:t>
      </w:r>
    </w:p>
    <w:p>
      <w:pPr>
        <w:pStyle w:val="SourceCodeLanguage"/>
      </w:pPr>
      <w:r>
        <w:rPr/>
        <w:t xml:space="preserve">mermaid</w:t>
      </w:r>
    </w:p>
    <w:p>
      <w:pPr>
        <w:pStyle w:val="SourceCode"/>
      </w:pPr>
      <w:r>
        <w:rPr/>
        <w:t xml:space="preserve">flowchart LR</w:t>
      </w:r>
    </w:p>
    <w:p>
      <w:pPr>
        <w:pStyle w:val="SourceCode"/>
      </w:pPr>
      <w:r>
        <w:rPr/>
        <w:t xml:space="preserve">    A[Orçamento] --&gt; B[Confirmação]</w:t>
      </w:r>
    </w:p>
    <w:p>
      <w:pPr>
        <w:pStyle w:val="SourceCode"/>
      </w:pPr>
      <w:r>
        <w:rPr/>
        <w:t xml:space="preserve">    B --&gt; C[Expedição]</w:t>
      </w:r>
    </w:p>
    <w:p>
      <w:pPr>
        <w:pStyle w:val="SourceCode"/>
      </w:pPr>
      <w:r>
        <w:rPr/>
        <w:t xml:space="preserve">    C --&gt; D[Faturamento]</w:t>
      </w:r>
    </w:p>
    <w:p>
      <w:pPr>
        <w:pStyle w:val="SourceCode"/>
      </w:pPr>
      <w:r>
        <w:rPr/>
        <w:t xml:space="preserve">    A -.cancelar.-&gt; X[Cancelado]</w:t>
      </w:r>
    </w:p>
    <w:p>
      <w:pPr>
        <w:pStyle w:val="SourceCode"/>
      </w:pPr>
      <w:r>
        <w:rPr/>
        <w:t xml:space="preserve">    B -.cancelar.-&gt; X</w:t>
      </w:r>
    </w:p>
    <w:p>
      <w:pPr>
        <w:pStyle w:val="SourceCode"/>
      </w:pPr>
      <w:r>
        <w:rPr/>
        <w:t xml:space="preserve">    C -.cancelar.-&gt; X</w:t>
      </w:r>
    </w:p>
    <w:p>
      <w:pPr>
        <w:pStyle w:val="SourceCode"/>
      </w:pPr>
      <w:r>
        <w:rPr/>
        <w:t xml:space="preserve">    B -- crédito estourado --&gt; B2[Bloqueado por crédito]</w:t>
      </w:r>
    </w:p>
    <w:p>
      <w:pPr>
        <w:pStyle w:val="SourceCode"/>
      </w:pPr>
      <w:r>
        <w:rPr/>
        <w:t xml:space="preserve">    B2 -- liberado por permissão especial --&gt; B</w:t>
      </w:r>
    </w:p>
    <w:p>
      <w:pPr>
        <w:pStyle w:val="Heading3"/>
      </w:pPr>
      <w:r>
        <w:rPr/>
        <w:t xml:space="preserve">1. Orçamento</w:t>
      </w:r>
    </w:p>
    <w:p>
      <w:pPr/>
      <w:r>
        <w:rPr/>
        <w:t xml:space="preserve">O vendedor monta o pedido: cliente, itens, quantidades. O preço de cada item vem automaticamente do motor de preço (preço do cliente, senão do grupo dele, senão o preço padrão da empresa). Se não houver preço cadastrado para aquele produto, o vendedor pode digitar um preço manualmente — o sistema registra que aquele preço foi digitado à mão, para auditoria.</w:t>
      </w:r>
    </w:p>
    <w:p>
      <w:pPr/>
      <w:r>
        <w:rPr/>
        <w:t xml:space="preserve">Desconto por item é </w:t>
      </w:r>
      <w:r>
        <w:rPr>
          <w:b/>
          <w:bCs/>
        </w:rPr>
        <w:t xml:space="preserve">livre</w:t>
      </w:r>
      <w:r>
        <w:rPr/>
        <w:t xml:space="preserve"> — o vendedor pode dar o desconto que achar necessário. Não há teto nem aprovação para desconto no lançamento inicial. Em compensação, todo desconto fica registrado e auditável (relatório gerencial de "descontos concedidos" para a diretoria acompanhar o comportamento comercial). O controle aqui é gerencial, não um bloqueio do sistema.</w:t>
      </w:r>
    </w:p>
    <w:p>
      <w:pPr>
        <w:pStyle w:val="Heading3"/>
      </w:pPr>
      <w:r>
        <w:rPr/>
        <w:t xml:space="preserve">2. Confirmação</w:t>
      </w:r>
    </w:p>
    <w:p>
      <w:pPr/>
      <w:r>
        <w:rPr/>
        <w:t xml:space="preserve">Ao confirmar o pedido, o sistema verifica:</w:t>
      </w:r>
    </w:p>
    <w:p>
      <w:pPr>
        <w:pStyle w:val="ListParagraph"/>
        <w:numPr>
          <w:numId w:val="100"/>
          <w:ilvl w:val="0"/>
        </w:numPr>
      </w:pPr>
      <w:r>
        <w:rPr/>
        <w:t xml:space="preserve">Se o cliente tem condição de pagamento definida (obrigatório).</w:t>
      </w:r>
    </w:p>
    <w:p>
      <w:pPr>
        <w:pStyle w:val="ListParagraph"/>
        <w:numPr>
          <w:numId w:val="100"/>
          <w:ilvl w:val="0"/>
        </w:numPr>
      </w:pPr>
      <w:r>
        <w:rPr/>
        <w:t xml:space="preserve">Se o cliente está com crédito disponível: soma o valor deste pedido com os outros pedidos em aberto do cliente e compara com o limite de crédito cadastrado.</w:t>
      </w:r>
    </w:p>
    <w:p>
      <w:pPr/>
      <w:r>
        <w:rPr>
          <w:b/>
          <w:bCs/>
        </w:rPr>
        <w:t xml:space="preserve">Se o crédito estourar, o pedido NÃO é rejeitado</w:t>
      </w:r>
      <w:r>
        <w:rPr/>
        <w:t xml:space="preserve"> — ele fica com status "Bloqueado por Crédito", esperando decisão. Um usuário com perfil de coordenador/gerente (permissão especial de liberação) pode confirmar mesmo assim, se a venda for aprovada por fora do sistema. Isso evita que o vendedor perca todo o trabalho de digitação por causa de um bloqueio duro.</w:t>
      </w:r>
    </w:p>
    <w:p>
      <w:pPr>
        <w:pStyle w:val="Heading3"/>
      </w:pPr>
      <w:r>
        <w:rPr/>
        <w:t xml:space="preserve">3. Expedição</w:t>
      </w:r>
    </w:p>
    <w:p>
      <w:pPr/>
      <w:r>
        <w:rPr/>
        <w:t xml:space="preserve">O pedido confirmado é expedido: informa-se o depósito de saída e, se houver frete, a transportadora.</w:t>
      </w:r>
    </w:p>
    <w:p>
      <w:pPr/>
      <w:r>
        <w:rPr>
          <w:b/>
          <w:bCs/>
        </w:rPr>
        <w:t xml:space="preserve">O sistema não verifica saldo de estoque nesta etapa.</w:t>
      </w:r>
      <w:r>
        <w:rPr/>
        <w:t xml:space="preserve"> Hoje o ERP não controla saldo real de estoque — a expedição é só um registro de que a mercadoria saiu. Fica a cargo da operação garantir fisicamente que o produto existe no depósito. </w:t>
      </w:r>
      <w:r>
        <w:rPr>
          <w:b/>
          <w:bCs/>
        </w:rPr>
        <w:t xml:space="preserve">Essa ausência de verificação é temporária:</w:t>
      </w:r>
      <w:r>
        <w:rPr/>
        <w:t xml:space="preserve"> assim que o controle real de saldo estiver pronto (mesmo módulo de operações), a checagem é ligada automaticamente e a expedição passa a bloquear se não houver saldo — não é preciso trocar de sistema nem esperar um módulo novo, é a mesma funcionalidade sendo ativada.</w:t>
      </w:r>
    </w:p>
    <w:p>
      <w:pPr/>
      <w:r>
        <w:rPr>
          <w:b/>
          <w:bCs/>
        </w:rPr>
        <w:t xml:space="preserve">Atenção legal:</w:t>
      </w:r>
      <w:r>
        <w:rPr/>
        <w:t xml:space="preserve"> mercadoria não pode fisicamente sair da doca sem nota fiscal (XML/DANFE). Enquanto o </w:t>
      </w:r>
      <w:r>
        <w:rPr>
          <w:rStyle w:val="VerbatimChar"/>
        </w:rPr>
        <w:t xml:space="preserve">fiscal-service</w:t>
      </w:r>
      <w:r>
        <w:rPr/>
        <w:t xml:space="preserve"> (emissão de NF-e) não existir dentro do ERP, a empresa continua emitindo a nota fiscal por fora (sistema emissor externo/SEFAZ) e anexando ao transporte — o sistema permite o fluxo interno avançar (confirmar, expedir, faturar) de forma desacoplada da emissão real da nota, mas a nota tem que existir fisicamente antes do caminhão sair.</w:t>
      </w:r>
    </w:p>
    <w:p>
      <w:pPr>
        <w:pStyle w:val="Heading3"/>
      </w:pPr>
      <w:r>
        <w:rPr/>
        <w:t xml:space="preserve">4. Faturamento</w:t>
      </w:r>
    </w:p>
    <w:p>
      <w:pPr/>
      <w:r>
        <w:rPr/>
        <w:t xml:space="preserve">Última etapa do processo de venda: o sistema calcula as parcelas de acordo com a condição de pagamento do cliente e envia ao financeiro um título a receber, pronto para cobrança. É o momento em que a venda "vira dinheiro a receber".</w:t>
      </w:r>
    </w:p>
    <w:p>
      <w:pPr/>
      <w:r>
        <w:rPr/>
        <w:t xml:space="preserve">Como dito acima, isso pode acontecer </w:t>
      </w:r>
      <w:r>
        <w:rPr>
          <w:b/>
          <w:bCs/>
        </w:rPr>
        <w:t xml:space="preserve">antes</w:t>
      </w:r>
      <w:r>
        <w:rPr/>
        <w:t xml:space="preserve"> de existir emissão de NF-e dentro do próprio ERP — o faturamento sistêmico (gerar o título financeiro) é independente da nota fiscal em si nesta fase do projeto.</w:t>
      </w:r>
    </w:p>
    <w:p>
      <w:pPr>
        <w:pStyle w:val="Heading3"/>
      </w:pPr>
      <w:r>
        <w:rPr/>
        <w:t xml:space="preserve">Cancelamento</w:t>
      </w:r>
    </w:p>
    <w:p>
      <w:pPr/>
      <w:r>
        <w:rPr/>
        <w:t xml:space="preserve">Pode ser feito em qualquer etapa antes do faturamento, sempre com um motivo obrigatório. Depois de faturado, o pedido não pode mais ser cancelado dentro do fluxo de vendas — qualquer estorno passa a ser um assunto do financeiro (renegociação, distrato), não mais do módulo de vendas.</w:t>
      </w:r>
    </w:p>
    <w:p>
      <w:pPr>
        <w:pBdr>
          <w:bottom w:val="single" w:sz="6" w:space="0" w:color="000000"/>
        </w:pBdr>
      </w:pPr>
    </w:p>
    <w:p>
      <w:pPr/>
    </w:p>
    <w:p>
      <w:pPr>
        <w:pStyle w:val="Heading2"/>
      </w:pPr>
      <w:r>
        <w:rPr/>
        <w:t xml:space="preserve">Resumo das regras de negócio</w:t>
      </w:r>
    </w:p>
    <w:tbl>
      <w:tblPr>
        <w:tblW w:w="0" w:type="dxa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firstRow="1"/>
      </w:tblPr>
      <w:tblGrid/>
      <w:tr>
        <w:trPr/>
        <w:tc>
          <w:tcPr/>
          <w:p>
            <w:pPr/>
            <w:r>
              <w:rPr/>
              <w:t xml:space="preserve">Situação</w:t>
            </w:r>
          </w:p>
        </w:tc>
        <w:tc>
          <w:tcPr/>
          <w:p>
            <w:pPr/>
            <w:r>
              <w:rPr/>
              <w:t xml:space="preserve">Regra</w:t>
            </w:r>
          </w:p>
        </w:tc>
      </w:tr>
      <w:tr>
        <w:trPr/>
        <w:tc>
          <w:tcPr/>
          <w:p>
            <w:pPr/>
            <w:r>
              <w:rPr/>
              <w:t xml:space="preserve">Preço sem cadastro no motor de preço</w:t>
            </w:r>
          </w:p>
        </w:tc>
        <w:tc>
          <w:tcPr/>
          <w:p>
            <w:pPr/>
            <w:r>
              <w:rPr/>
              <w:t xml:space="preserve">Vendedor digita manualmente; fica marcado como preço manual</w:t>
            </w:r>
          </w:p>
        </w:tc>
      </w:tr>
      <w:tr>
        <w:trPr/>
        <w:tc>
          <w:tcPr/>
          <w:p>
            <w:pPr/>
            <w:r>
              <w:rPr/>
              <w:t xml:space="preserve">Desconto do vendedor</w:t>
            </w:r>
          </w:p>
        </w:tc>
        <w:tc>
          <w:tcPr/>
          <w:p>
            <w:pPr/>
            <w:r>
              <w:rPr/>
              <w:t xml:space="preserve">Livre, sem teto, auditado em relatório</w:t>
            </w:r>
          </w:p>
        </w:tc>
      </w:tr>
      <w:tr>
        <w:trPr/>
        <w:tc>
          <w:tcPr/>
          <w:p>
            <w:pPr/>
            <w:r>
              <w:rPr/>
              <w:t xml:space="preserve">Limite de crédito estourado</w:t>
            </w:r>
          </w:p>
        </w:tc>
        <w:tc>
          <w:tcPr/>
          <w:p>
            <w:pPr/>
            <w:r>
              <w:rPr/>
              <w:t xml:space="preserve">Bloqueio "soft" — pedido fica pendente, liberável por permissão especial</w:t>
            </w:r>
          </w:p>
        </w:tc>
      </w:tr>
      <w:tr>
        <w:trPr/>
        <w:tc>
          <w:tcPr/>
          <w:p>
            <w:pPr/>
            <w:r>
              <w:rPr/>
              <w:t xml:space="preserve">Saldo de estoque</w:t>
            </w:r>
          </w:p>
        </w:tc>
        <w:tc>
          <w:tcPr/>
          <w:p>
            <w:pPr/>
            <w:r>
              <w:rPr/>
              <w:t xml:space="preserve">Não verificado no MVP — expedição é só registro</w:t>
            </w:r>
          </w:p>
        </w:tc>
      </w:tr>
      <w:tr>
        <w:trPr/>
        <w:tc>
          <w:tcPr/>
          <w:p>
            <w:pPr/>
            <w:r>
              <w:rPr/>
              <w:t xml:space="preserve">Nota fiscal (NF-e)</w:t>
            </w:r>
          </w:p>
        </w:tc>
        <w:tc>
          <w:tcPr/>
          <w:p>
            <w:pPr/>
            <w:r>
              <w:rPr/>
              <w:t xml:space="preserve">Emitida por fora do sistema por enquanto; faturamento sistêmico não depende dela</w:t>
            </w:r>
          </w:p>
        </w:tc>
      </w:tr>
      <w:tr>
        <w:trPr/>
        <w:tc>
          <w:tcPr/>
          <w:p>
            <w:pPr/>
            <w:r>
              <w:rPr/>
              <w:t xml:space="preserve">Cancelamento</w:t>
            </w:r>
          </w:p>
        </w:tc>
        <w:tc>
          <w:tcPr/>
          <w:p>
            <w:pPr/>
            <w:r>
              <w:rPr/>
              <w:t xml:space="preserve">Permitido até antes do faturamento, com motivo obrigatório</w:t>
            </w:r>
          </w:p>
        </w:tc>
      </w:tr>
    </w:tbl>
    <w:p>
      <w:pPr>
        <w:pStyle w:val="Heading2"/>
      </w:pPr>
      <w:r>
        <w:rPr/>
        <w:t xml:space="preserve">O que fica de fora por enquanto</w:t>
      </w:r>
    </w:p>
    <w:p>
      <w:pPr>
        <w:pStyle w:val="ListParagraph"/>
        <w:numPr>
          <w:numId w:val="101"/>
          <w:ilvl w:val="0"/>
        </w:numPr>
      </w:pPr>
      <w:r>
        <w:rPr/>
        <w:t xml:space="preserve">Emissão de NF-e dentro do sistema (entra com o </w:t>
      </w:r>
      <w:r>
        <w:rPr>
          <w:rStyle w:val="VerbatimChar"/>
        </w:rPr>
        <w:t xml:space="preserve">fiscal-service</w:t>
      </w:r>
      <w:r>
        <w:rPr/>
        <w:t xml:space="preserve">).</w:t>
      </w:r>
    </w:p>
    <w:p>
      <w:pPr>
        <w:pStyle w:val="ListParagraph"/>
        <w:numPr>
          <w:numId w:val="101"/>
          <w:ilvl w:val="0"/>
        </w:numPr>
      </w:pPr>
      <w:r>
        <w:rPr/>
        <w:t xml:space="preserve">Controle real de saldo de estoque (mesmo módulo de operações — hoje desligado, liga quando ficar pronto).</w:t>
      </w:r>
    </w:p>
    <w:p>
      <w:pPr>
        <w:pStyle w:val="ListParagraph"/>
        <w:numPr>
          <w:numId w:val="101"/>
          <w:ilvl w:val="0"/>
        </w:numPr>
      </w:pPr>
      <w:r>
        <w:rPr/>
        <w:t xml:space="preserve">Teto/alçada de desconto por perfil de vendedor.</w:t>
      </w:r>
    </w:p>
    <w:p>
      <w:pPr>
        <w:pStyle w:val="ListParagraph"/>
        <w:numPr>
          <w:numId w:val="101"/>
          <w:ilvl w:val="0"/>
        </w:numPr>
      </w:pPr>
      <w:r>
        <w:rPr/>
        <w:t xml:space="preserve">Devolução de mercadoria (RMA).</w:t>
      </w:r>
    </w:p>
    <w:p>
      <w:pPr>
        <w:pStyle w:val="ListParagraph"/>
        <w:numPr>
          <w:numId w:val="101"/>
          <w:ilvl w:val="0"/>
        </w:numPr>
      </w:pPr>
      <w:r>
        <w:rPr/>
        <w:t xml:space="preserve">Comissão de vendedor (spec própria, futura).</w:t>
      </w:r>
    </w:p>
    <w:sectPr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m="http://schemas.openxmlformats.org/officeDocument/2006/math" mc:Ignorable="w14 wp14"/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m="http://schemas.openxmlformats.org/officeDocument/2006/math" mc:Ignorable="w14 wp14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m="http://schemas.openxmlformats.org/officeDocument/2006/math" mc:Ignorable="w14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multiLevelType w:val="multilevel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00">
    <w:multiLevelType w:val="multilevel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00">
    <w:multiLevelType w:val="multilevel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1">
    <w:multiLevelType w:val="multilevel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>
    <w:abstractNumId w:val="1"/>
  </w:num>
  <w:num w:numId="2">
    <w:abstractNumId w:val="2"/>
  </w:num>
  <w:num w:numId="1000">
    <w:abstractNumId w:val="1000"/>
  </w:num>
  <w:num w:numId="100">
    <w:abstractNumId w:val="100"/>
  </w:num>
  <w:num w:numId="101">
    <w:abstractNumId w:val="101"/>
  </w:num>
</w:numbering>
</file>

<file path=word/settings.xml><?xml version="1.0" encoding="utf-8"?>
<w:settings xmlns:w="http://schemas.openxmlformats.org/wordprocessingml/2006/main">
  <w:defaultTabStop w:val="709"/>
  <w:zoom w:percent="1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Theme="minorHAnsi" w:hAnsiTheme="minorHAnsi" w:eastAsiaTheme="minorHAnsi" w:cstheme="minorBidi"/>
      </w:rPr>
    </w:rPrDefault>
    <w:pPrDefault>
      <w:pPr>
        <w:spacing w:before="0" w:after="200"/>
      </w:pPr>
    </w:pPrDefault>
  </w:docDefaults>
  <w:style w:type="paragraph" w:styleId="Normal">
    <w:name w:val="Normal"/>
    <w:rPr/>
    <w:pPr/>
    <w:next w:val="Normal"/>
    <w:qFormat/>
  </w:style>
  <w:style w:type="paragraph" w:styleId="BodyText">
    <w:name w:val="Body Text"/>
    <w:rPr/>
    <w:pPr>
      <w:spacing w:before="180" w:after="180"/>
    </w:pPr>
    <w:basedOn w:val="Normal"/>
    <w:next w:val="Normal"/>
    <w:qFormat/>
  </w:style>
  <w:style w:type="paragraph" w:styleId="FirstParagraph">
    <w:name w:val="First Paragraph"/>
    <w:rPr/>
    <w:pPr/>
    <w:basedOn w:val="BodyText"/>
    <w:next w:val="BodyText"/>
    <w:qFormat/>
  </w:style>
  <w:style w:type="paragraph" w:styleId="Compact">
    <w:name w:val="Compact"/>
    <w:rPr/>
    <w:pPr>
      <w:spacing w:before="36" w:after="36"/>
    </w:pPr>
    <w:basedOn w:val="BodyText"/>
    <w:next w:val="Normal"/>
    <w:qFormat/>
  </w:style>
  <w:style w:type="paragraph" w:styleId="Title">
    <w:name w:val="Title"/>
    <w:rPr>
      <w:sz w:val="36"/>
      <w:szCs w:val="36"/>
      <w:color w:val="345A8A"/>
      <w:b/>
      <w:bCs/>
      <w:rFonts w:asciiTheme="majorHAnsi" w:hAnsiTheme="majorHAnsi" w:eastAsiaTheme="majorEastAsia" w:cstheme="majorBidi"/>
    </w:rPr>
    <w:pPr>
      <w:jc w:val="center"/>
      <w:spacing w:before="480" w:after="240"/>
    </w:pPr>
    <w:basedOn w:val="Normal"/>
    <w:next w:val="BodyText"/>
    <w:qFormat/>
  </w:style>
  <w:style w:type="paragraph" w:styleId="Subtitle">
    <w:name w:val="Subtitle"/>
    <w:rPr>
      <w:sz w:val="30"/>
      <w:szCs w:val="30"/>
    </w:rPr>
    <w:pPr>
      <w:jc w:val="center"/>
      <w:spacing w:before="240" w:after="240"/>
    </w:pPr>
    <w:basedOn w:val="Title"/>
    <w:next w:val="BodyText"/>
    <w:qFormat/>
  </w:style>
  <w:style w:type="paragraph" w:styleId="Author">
    <w:name w:val="Author"/>
    <w:rPr/>
    <w:pPr>
      <w:jc w:val="center"/>
    </w:pPr>
    <w:next w:val="BodyText"/>
    <w:qFormat/>
  </w:style>
  <w:style w:type="paragraph" w:styleId="Date">
    <w:name w:val="Date"/>
    <w:rPr/>
    <w:pPr>
      <w:jc w:val="center"/>
    </w:pPr>
    <w:next w:val="BodyText"/>
    <w:qFormat/>
  </w:style>
  <w:style w:type="paragraph" w:styleId="Abstract">
    <w:name w:val="Abstract"/>
    <w:rPr>
      <w:sz w:val="20"/>
      <w:szCs w:val="20"/>
    </w:rPr>
    <w:pPr>
      <w:spacing w:before="300" w:after="300"/>
    </w:pPr>
    <w:basedOn w:val="Normal"/>
    <w:next w:val="BodyText"/>
    <w:qFormat/>
  </w:style>
  <w:style w:type="paragraph" w:styleId="Bibliography">
    <w:name w:val="Bibliography"/>
    <w:rPr/>
    <w:pPr/>
    <w:basedOn w:val="Normal"/>
    <w:next w:val="Bibliography"/>
    <w:qFormat/>
  </w:style>
  <w:style w:type="paragraph" w:styleId="Heading1">
    <w:name w:val="Heading 1"/>
    <w:rPr>
      <w:sz w:val="32"/>
      <w:szCs w:val="32"/>
      <w:color w:val="4F81BD"/>
      <w:rFonts w:asciiTheme="majorHAnsi" w:hAnsiTheme="majorHAnsi" w:eastAsiaTheme="majorEastAsia" w:cstheme="majorBidi"/>
    </w:rPr>
    <w:pPr>
      <w:spacing w:before="480" w:after="0"/>
    </w:pPr>
    <w:basedOn w:val="Normal"/>
    <w:next w:val="BodyText"/>
    <w:qFormat/>
  </w:style>
  <w:style w:type="paragraph" w:styleId="Heading2">
    <w:name w:val="Heading 2"/>
    <w:rPr>
      <w:sz w:val="28"/>
      <w:szCs w:val="28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3">
    <w:name w:val="Heading 3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4">
    <w:name w:val="Heading 4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5">
    <w:name w:val="Heading 5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6">
    <w:name w:val="Heading 6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7">
    <w:name w:val="Heading 7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8">
    <w:name w:val="Heading 8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Heading9">
    <w:name w:val="Heading 9"/>
    <w:rPr>
      <w:sz w:val="24"/>
      <w:szCs w:val="24"/>
      <w:color w:val="4F81BD"/>
      <w:rFonts w:asciiTheme="majorHAnsi" w:hAnsiTheme="majorHAnsi" w:eastAsiaTheme="majorEastAsia" w:cstheme="majorBidi"/>
    </w:rPr>
    <w:pPr>
      <w:spacing w:before="200" w:after="0"/>
    </w:pPr>
    <w:basedOn w:val="Normal"/>
    <w:next w:val="BodyText"/>
    <w:qFormat/>
  </w:style>
  <w:style w:type="paragraph" w:styleId="BlockText">
    <w:name w:val="Block Text"/>
    <w:rPr/>
    <w:pPr>
      <w:ind w:left="480" w:right="480" w:firstLine="0"/>
      <w:spacing w:before="100" w:after="100"/>
    </w:pPr>
    <w:basedOn w:val="BodyText"/>
    <w:next w:val="BodyText"/>
    <w:qFormat/>
  </w:style>
  <w:style w:type="paragraph" w:styleId="Quote">
    <w:name w:val="Quote"/>
    <w:rPr/>
    <w:pPr>
      <w:ind w:left="480" w:right="480" w:firstLine="0"/>
      <w:spacing w:before="100" w:after="100"/>
    </w:pPr>
    <w:basedOn w:val="BodyText"/>
    <w:next w:val="BodyText"/>
    <w:qFormat/>
  </w:style>
  <w:style w:type="paragraph" w:styleId="FootnoteText">
    <w:name w:val="Footnote Text"/>
    <w:rPr/>
    <w:pPr/>
    <w:basedOn w:val="Normal"/>
    <w:next w:val="FootnoteText"/>
    <w:qFormat/>
  </w:style>
  <w:style w:type="character" w:styleId="DefaultParagraphFont">
    <w:name w:val="Default Paragraph Font"/>
    <w:rPr/>
    <w:pPr/>
    <w:next w:val="Normal"/>
    <w:qFormat/>
  </w:style>
  <w:style w:type="table" w:styleId="Table">
    <w:name w:val="Table"/>
    <w:rPr/>
    <w:pPr/>
    <w:basedOn w:val="TableNormal"/>
    <w:next w:val="Normal"/>
    <w:qFormat/>
  </w:style>
  <w:style w:type="paragraph" w:styleId="DefinitionTerm">
    <w:name w:val="Definition Term"/>
    <w:rPr>
      <w:b/>
      <w:bCs/>
    </w:rPr>
    <w:pPr>
      <w:spacing w:before="0" w:after="0"/>
    </w:pPr>
    <w:basedOn w:val="Normal"/>
    <w:next w:val="Definition"/>
    <w:qFormat/>
  </w:style>
  <w:style w:type="paragraph" w:styleId="Definition">
    <w:name w:val="Definition"/>
    <w:rPr/>
    <w:pPr/>
    <w:basedOn w:val="Normal"/>
    <w:next w:val="Normal"/>
    <w:qFormat/>
  </w:style>
  <w:style w:type="paragraph" w:styleId="Caption">
    <w:name w:val="Caption"/>
    <w:rPr>
      <w:i/>
      <w:iCs/>
    </w:rPr>
    <w:pPr>
      <w:spacing w:before="0" w:after="120"/>
    </w:pPr>
    <w:basedOn w:val="Normal"/>
    <w:next w:val="Normal"/>
    <w:qFormat/>
  </w:style>
  <w:style w:type="paragraph" w:styleId="TableCaption">
    <w:name w:val="Table Caption"/>
    <w:rPr/>
    <w:pPr/>
    <w:basedOn w:val="Caption"/>
    <w:next w:val="Normal"/>
    <w:qFormat/>
  </w:style>
  <w:style w:type="paragraph" w:styleId="ImageCaption">
    <w:name w:val="Image Caption"/>
    <w:rPr/>
    <w:pPr/>
    <w:basedOn w:val="Caption"/>
    <w:next w:val="Normal"/>
    <w:qFormat/>
  </w:style>
  <w:style w:type="paragraph" w:styleId="Figure">
    <w:name w:val="Figure"/>
    <w:rPr/>
    <w:pPr/>
    <w:basedOn w:val="Normal"/>
    <w:next w:val="Normal"/>
    <w:qFormat/>
  </w:style>
  <w:style w:type="paragraph" w:styleId="CaptionedFigure">
    <w:name w:val="Captioned Figure"/>
    <w:rPr/>
    <w:pPr/>
    <w:basedOn w:val="Figure"/>
    <w:next w:val="Normal"/>
    <w:qFormat/>
  </w:style>
  <w:style w:type="character" w:styleId="BodyTextChar">
    <w:name w:val="Body Text Char"/>
    <w:rPr/>
    <w:pPr/>
    <w:basedOn w:val="DefaultParagraphFont"/>
    <w:next w:val="Normal"/>
    <w:qFormat/>
  </w:style>
  <w:style w:type="character" w:styleId="VerbatimChar">
    <w:name w:val="Verbatim Char"/>
    <w:rPr>
      <w:sz w:val="22"/>
      <w:szCs w:val="22"/>
      <w:rFonts w:ascii="Consolas" w:hAnsi="Consolas"/>
    </w:rPr>
    <w:pPr/>
    <w:basedOn w:val="BodyTextChar"/>
    <w:next w:val="Normal"/>
    <w:qFormat/>
  </w:style>
  <w:style w:type="character" w:styleId="FootnoteReference">
    <w:name w:val="Footnote Reference"/>
    <w:rPr>
      <w:vertAlign w:val="superscript"/>
    </w:rPr>
    <w:pPr/>
    <w:basedOn w:val="BodyTextChar"/>
    <w:next w:val="Normal"/>
    <w:qFormat/>
  </w:style>
  <w:style w:type="character" w:styleId="Hyperlink">
    <w:name w:val="Hyperlink"/>
    <w:rPr>
      <w:color w:val="4F81BD"/>
    </w:rPr>
    <w:pPr/>
    <w:basedOn w:val="BodyTextChar"/>
    <w:next w:val="Normal"/>
    <w:qFormat/>
  </w:style>
  <w:style w:type="paragraph" w:styleId="TOCHeading">
    <w:name w:val="TOC Heading"/>
    <w:rPr>
      <w:color w:val="365F91"/>
      <w:b/>
      <w:rFonts w:asciiTheme="majorHAnsi" w:hAnsiTheme="majorHAnsi" w:eastAsiaTheme="majorEastAsia" w:cstheme="majorBidi"/>
    </w:rPr>
    <w:pPr>
      <w:spacing w:before="240" w:after="0"/>
    </w:pPr>
    <w:basedOn w:val="Heading1"/>
    <w:next w:val="BodyText"/>
    <w:qFormat/>
  </w:style>
  <w:style w:type="paragraph" w:styleId="SourceCode">
    <w:name w:val="Source Code"/>
    <w:rPr>
      <w:sz w:val="22"/>
      <w:szCs w:val="22"/>
      <w:rFonts w:ascii="Consolas" w:hAnsi="Consolas"/>
    </w:rPr>
    <w:pPr>
      <w:shd w:val="clear" w:color="auto" w:fill="D9D9D9"/>
      <w:contextualSpacing/>
    </w:pPr>
    <w:basedOn w:val="BodyText"/>
    <w:next w:val="SourceCode"/>
    <w:qFormat/>
  </w:style>
  <w:style w:type="character" w:styleId="InlineMath">
    <w:name w:val="Inline Math"/>
    <w:rPr>
      <w:sz w:val="22"/>
      <w:szCs w:val="22"/>
      <w:color w:val="FF0000"/>
      <w:rFonts w:ascii="Consolas" w:hAnsi="Consolas"/>
    </w:rPr>
    <w:pPr/>
    <w:basedOn w:val="DefaultParagraphFont"/>
    <w:next w:val="Normal"/>
    <w:qFormat/>
  </w:style>
  <w:style w:type="character" w:styleId="DisplayMath">
    <w:name w:val="Display Math"/>
    <w:rPr>
      <w:sz w:val="22"/>
      <w:szCs w:val="22"/>
      <w:color w:val="FF0000"/>
      <w:rFonts w:ascii="Consolas" w:hAnsi="Consolas"/>
    </w:rPr>
    <w:pPr/>
    <w:basedOn w:val="DefaultParagraphFont"/>
    <w:next w:val="Normal"/>
    <w:qFormat/>
  </w:style>
  <w:style w:type="paragraph" w:styleId="Metadata">
    <w:name w:val="Metadata"/>
    <w:rPr>
      <w:color w:val="D9D9D9"/>
      <w:rFonts w:ascii="Consolas" w:hAnsi="Consolas"/>
    </w:rPr>
    <w:pPr/>
    <w:basedOn w:val="BodyText"/>
    <w:next w:val="Normal"/>
    <w:qFormat/>
  </w:style>
  <w:style w:type="paragraph" w:styleId="SourceCodeLanguage">
    <w:name w:val="Source Code Language"/>
    <w:rPr>
      <w:color w:val="D99594"/>
      <w:rFonts w:ascii="Consolas" w:hAnsi="Consolas"/>
    </w:rPr>
    <w:pPr>
      <w:spacing w:before="0" w:after="0"/>
    </w:pPr>
    <w:basedOn w:val="BodyText"/>
    <w:next w:val="SourceCode"/>
    <w:qFormat/>
  </w:style>
  <w:style w:type="paragraph" w:styleId="ListParagraph">
    <w:name w:val="List Paragraph"/>
    <w:rPr/>
    <w:pPr/>
    <w:next w:val="ListParagraph"/>
    <w:qFormat/>
  </w:style>
  <w:style w:type="paragraph" w:styleId="RawHTML">
    <w:name w:val="Raw HTML"/>
    <w:rPr>
      <w:color w:val="00A000"/>
      <w:rFonts w:ascii="Consolas" w:hAnsi="Consolas"/>
    </w:rPr>
    <w:pPr/>
    <w:next w:val="Normal"/>
    <w:qFormat/>
  </w:style>
  <w:style w:type="character" w:styleId="RawHTMLChar">
    <w:name w:val="Raw HTML Char"/>
    <w:rPr>
      <w:color w:val="00A000"/>
      <w:rFonts w:ascii="Consolas" w:hAnsi="Consolas"/>
    </w:rPr>
    <w:pPr/>
    <w:next w:val="Normal"/>
    <w:qFormat/>
  </w:style>
  <w:style w:type="character" w:styleId="MissingCitation">
    <w:name w:val="Missing Citation"/>
    <w:rPr>
      <w:color w:val="FF0000"/>
    </w:rPr>
    <w:pPr/>
    <w:next w:val="Normal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fontTable" Target="fontTable.xml" />
  <Relationship Id="rId3" Type="http://schemas.openxmlformats.org/officeDocument/2006/relationships/settings" Target="settings.xml" />
  <Relationship Id="rId5" Type="http://schemas.openxmlformats.org/officeDocument/2006/relationships/numbering" Target="numbering.xml" />
  <Relationship Id="rId6" Type="http://schemas.openxmlformats.org/officeDocument/2006/relationships/footnotes" Target="footnotes.xml" />
  <Relationship Id="rId7" Type="http://schemas.openxmlformats.org/officeDocument/2006/relationships/theme" Target="theme/theme1.xml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