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O2C — Vendas: visão funcional</w:t>
      </w:r>
    </w:p>
    <w:p>
      <w:r>
        <w:rPr>
          <w:b/>
        </w:rPr>
        <w:t>Status:</w:t>
      </w:r>
      <w:r>
        <w:t xml:space="preserve"> decisões fechadas · </w:t>
      </w:r>
      <w:r>
        <w:rPr>
          <w:b/>
        </w:rPr>
        <w:t>Data:</w:t>
      </w:r>
      <w:r>
        <w:t xml:space="preserve"> 2026-07-11 · </w:t>
      </w:r>
      <w:r>
        <w:rPr>
          <w:b/>
        </w:rPr>
        <w:t>Rev.:</w:t>
      </w:r>
      <w:r>
        <w:t xml:space="preserve"> 3 de setembro de 2026 (crédito estourado ganha reabertura/cancelamento explícitos como alternativa à liberação; base do cálculo de crédito precisada para pedidos confirmados/expedidos ainda não faturados; nota sobre o </w:t>
      </w:r>
      <w:r>
        <w:rPr>
          <w:rFonts w:ascii="Consolas" w:hAnsi="Consolas"/>
          <w:sz w:val="19"/>
        </w:rPr>
        <w:t>fiscal-service</w:t>
      </w:r>
      <w:r>
        <w:t xml:space="preserve"> já existir para cálculo fiscal, ainda não para emissão de NF-e) · </w:t>
      </w:r>
      <w:r>
        <w:rPr>
          <w:b/>
        </w:rPr>
        <w:t>Rev.:</w:t>
      </w:r>
      <w:r>
        <w:t xml:space="preserve"> 3 de setembro de 2026 (venda de serviços: sem expedição nem estoque, nota fiscal de serviço no faturamento, impostos calculados no faturamento) · </w:t>
      </w:r>
      <w:r>
        <w:rPr>
          <w:b/>
        </w:rPr>
        <w:t>Rev.:</w:t>
      </w:r>
      <w:r>
        <w:t xml:space="preserve"> 8 de setembro de 2026 (expedição já baixa/estorna saldo de verdade via módulo de Estoque; só o bloqueio por saldo insuficiente segue desligado) · </w:t>
      </w:r>
      <w:r>
        <w:rPr>
          <w:b/>
        </w:rPr>
        <w:t>Módulo:</w:t>
      </w:r>
      <w:r>
        <w:t xml:space="preserve"> </w:t>
      </w:r>
      <w:r>
        <w:rPr>
          <w:rFonts w:ascii="Consolas" w:hAnsi="Consolas"/>
          <w:sz w:val="19"/>
        </w:rPr>
        <w:t>operacoes-service</w:t>
      </w:r>
      <w:r>
        <w:t xml:space="preserve"> (microsserviço único, também dono de compras e estoque)</w:t>
      </w:r>
    </w:p>
    <w:p>
      <w:pPr>
        <w:pStyle w:val="IntenseQuote"/>
      </w:pPr>
      <w:r>
        <w:t xml:space="preserve">Este documento descreve o processo de venda em linguagem de negócio — sem schema de banco, endpoint ou detalhe técnico. Para a implementação, ver </w:t>
      </w:r>
      <w:r>
        <w:rPr>
          <w:rFonts w:ascii="Consolas" w:hAnsi="Consolas"/>
          <w:sz w:val="19"/>
        </w:rPr>
        <w:t>spec/o2c-vendas.md</w:t>
      </w:r>
      <w:r>
        <w:t>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Objetivo</w:t>
      </w:r>
    </w:p>
    <w:p>
      <w:r>
        <w:t>Levar uma venda do orçamento até o faturamento, aplicando o preço correto (motor de preço), verificando crédito do cliente, e entregando ao financeiro um título a receber pronto para cobrança.</w:t>
      </w:r>
    </w:p>
    <w:p>
      <w:pPr>
        <w:pStyle w:val="Heading2"/>
      </w:pPr>
      <w:r>
        <w:t>O fluxo, passo a passo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898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ed4a2f9d913c4ab88689a4e2b0c4695fe81cb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89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1. Orçamento</w:t>
      </w:r>
    </w:p>
    <w:p>
      <w:r>
        <w:t xml:space="preserve">O vendedor monta o pedido: cliente, itens, quantidades. Cada item pode ser </w:t>
      </w:r>
      <w:r>
        <w:rPr>
          <w:b/>
        </w:rPr>
        <w:t>mercadoria ou serviço</w:t>
      </w:r>
      <w:r>
        <w:t>, conforme o cadastro do produto — o sistema não trata os dois tipos como telas separadas, é o mesmo formulário de pedido. O preço de cada item vem automaticamente do motor de preço (preço do cliente, senão do grupo dele, senão o preço padrão da empresa). Se não houver preço cadastrado para aquele produto, o vendedor pode digitar um preço manualmente — o sistema registra que aquele preço foi digitado à mão, para auditoria.</w:t>
      </w:r>
    </w:p>
    <w:p>
      <w:r>
        <w:t xml:space="preserve">Desconto por item é </w:t>
      </w:r>
      <w:r>
        <w:rPr>
          <w:b/>
        </w:rPr>
        <w:t>livre</w:t>
      </w:r>
      <w:r>
        <w:t xml:space="preserve"> — o vendedor pode dar o desconto que achar necessário. Não há teto nem aprovação para desconto no lançamento inicial. Em compensação, todo desconto fica registrado e auditável (relatório gerencial de "descontos concedidos" para a diretoria acompanhar o comportamento comercial). O controle aqui é gerencial, não um bloqueio do sistema.</w:t>
      </w:r>
    </w:p>
    <w:p>
      <w:pPr>
        <w:pStyle w:val="Heading3"/>
      </w:pPr>
      <w:r>
        <w:t>2. Confirmação</w:t>
      </w:r>
    </w:p>
    <w:p>
      <w:r>
        <w:t>Ao confirmar o pedido, o sistema verifica:</w:t>
      </w:r>
    </w:p>
    <w:p>
      <w:pPr>
        <w:pStyle w:val="ListBullet"/>
      </w:pPr>
      <w:r>
        <w:t>Se o cliente tem condição de pagamento definida (obrigatório).</w:t>
      </w:r>
    </w:p>
    <w:p>
      <w:pPr>
        <w:pStyle w:val="ListBullet"/>
      </w:pPr>
      <w:r>
        <w:t xml:space="preserve">Se o cliente está com crédito disponível: soma o valor deste pedido com os outros pedidos </w:t>
      </w:r>
      <w:r>
        <w:rPr>
          <w:b/>
        </w:rPr>
        <w:t>confirmados/expedidos e ainda não faturados</w:t>
      </w:r>
      <w:r>
        <w:t xml:space="preserve"> do cliente e compara com o limite de crédito cadastrado (pedidos em orçamento não entram na conta — ainda não são compromisso; pedidos já faturados viraram título e saem da exposição de crédito, não do limite).</w:t>
      </w:r>
    </w:p>
    <w:p>
      <w:r>
        <w:rPr>
          <w:b/>
        </w:rPr>
        <w:t>Se o crédito estourar, o pedido NÃO é rejeitado</w:t>
      </w:r>
      <w:r>
        <w:t xml:space="preserve"> — ele fica com status "Bloqueado por Crédito", esperando decisão. Um usuário com perfil de coordenador/gerente (permissão especial de liberação) pode confirmar mesmo assim, se a venda for aprovada por fora do sistema. Isso evita que o vendedor perca todo o trabalho de digitação por causa de um bloqueio duro. Se ninguém liberar, o vendedor tem duas saídas dentro do próprio fluxo: </w:t>
      </w:r>
      <w:r>
        <w:rPr>
          <w:b/>
        </w:rPr>
        <w:t>reabrir o pedido</w:t>
      </w:r>
      <w:r>
        <w:t xml:space="preserve"> para ajustar valores/itens e tentar confirmar de novo, ou </w:t>
      </w:r>
      <w:r>
        <w:rPr>
          <w:b/>
        </w:rPr>
        <w:t>cancelar</w:t>
      </w:r>
      <w:r>
        <w:t xml:space="preserve"> — não fica travado sem opção.</w:t>
      </w:r>
    </w:p>
    <w:p>
      <w:pPr>
        <w:pStyle w:val="Heading3"/>
      </w:pPr>
      <w:r>
        <w:t>3. Expedição</w:t>
      </w:r>
    </w:p>
    <w:p>
      <w:r>
        <w:t>Só existe para mercadoria. Pedido só de serviço vai da confirmação direto ao faturamento — não passa por depósito nem transportadora.</w:t>
      </w:r>
    </w:p>
    <w:p>
      <w:r>
        <w:t>O pedido confirmado (com pelo menos um item de mercadoria) é expedido: informa-se o depósito de saída e, se houver frete, a transportadora. Num pedido misto (mercadoria + serviço), a expedição baixa estoque só da parte de mercadoria; o serviço segue no pedido até o faturamento.</w:t>
      </w:r>
    </w:p>
    <w:p>
      <w:r>
        <w:t xml:space="preserve">A expedição já baixa o saldo de verdade (módulo de Estoque, </w:t>
      </w:r>
      <w:r>
        <w:rPr>
          <w:rFonts w:ascii="Consolas" w:hAnsi="Consolas"/>
          <w:sz w:val="19"/>
        </w:rPr>
        <w:t>spec/estoque.md</w:t>
      </w:r>
      <w:r>
        <w:t xml:space="preserve">) e, se o pedido for cancelado depois de expedido, o estorno devolve a mesma quantidade automaticamente. </w:t>
      </w:r>
      <w:r>
        <w:rPr>
          <w:b/>
        </w:rPr>
        <w:t>O bloqueio por saldo insuficiente ainda não está ligado</w:t>
      </w:r>
      <w:r>
        <w:t xml:space="preserve">: hoje vender mais do que o saldo mostra não impede a expedição — o saldo só fica negativo, sinalizando a inconsistência. A checagem em si já existe pronta no sistema, atrás da chave </w:t>
      </w:r>
      <w:r>
        <w:rPr>
          <w:rFonts w:ascii="Consolas" w:hAnsi="Consolas"/>
          <w:sz w:val="19"/>
        </w:rPr>
        <w:t>estoque.bloquear-saida</w:t>
      </w:r>
      <w:r>
        <w:t xml:space="preserve"> (default desligada); assim que o saldo inicial de todos os produtos estiver carregado e a operação tiver a tela de consulta/extrato para acompanhar, a chave é ligada e a expedição passa a bloquear pedidos que deixariam algum produto negativo — sem trocar de sistema nem esperar módulo novo.</w:t>
      </w:r>
    </w:p>
    <w:p>
      <w:r>
        <w:rPr>
          <w:b/>
        </w:rPr>
        <w:t>Atenção legal:</w:t>
      </w:r>
      <w:r>
        <w:t xml:space="preserve"> mercadoria não pode fisicamente sair da doca sem nota fiscal (XML/DANFE). </w:t>
      </w:r>
      <w:r>
        <w:rPr>
          <w:b/>
        </w:rPr>
        <w:t>Hoje o `fiscal-service` já existe e já calcula os impostos da venda</w:t>
      </w:r>
      <w:r>
        <w:t xml:space="preserve"> (IBS/CBS/IS/ISS), mas ainda </w:t>
      </w:r>
      <w:r>
        <w:rPr>
          <w:b/>
        </w:rPr>
        <w:t>não emite NF-e/NFC-e/NFS-e</w:t>
      </w:r>
      <w:r>
        <w:t xml:space="preserve"> — enquanto essa emissão não existir dentro do ERP, a empresa continua gerando a nota fiscal por fora (sistema emissor externo/SEFAZ) e anexando ao transporte. A regra vale </w:t>
      </w:r>
      <w:r>
        <w:rPr>
          <w:b/>
        </w:rPr>
        <w:t>por tipo de item</w:t>
      </w:r>
      <w:r>
        <w:t xml:space="preserve">, não é uma nota única para o pedido: a </w:t>
      </w:r>
      <w:r>
        <w:rPr>
          <w:b/>
        </w:rPr>
        <w:t>NF-e acompanha a mercadoria na expedição</w:t>
      </w:r>
      <w:r>
        <w:t xml:space="preserve"> (é aqui que ela precisa estar pronta, porque é daqui que a mercadoria sai), e o </w:t>
      </w:r>
      <w:r>
        <w:rPr>
          <w:b/>
        </w:rPr>
        <w:t>serviço tem NFS-e emitida no faturamento</w:t>
      </w:r>
      <w:r>
        <w:t xml:space="preserve"> (não há transporte a amarrar, a nota de serviço é por competência). Um </w:t>
      </w:r>
      <w:r>
        <w:rPr>
          <w:b/>
        </w:rPr>
        <w:t>pedido misto emite as duas notas</w:t>
      </w:r>
      <w:r>
        <w:t>, cada uma no seu momento. O sistema permite o fluxo interno avançar (confirmar, expedir, faturar) de forma desacoplada da emissão real das notas, mas elas têm que existir fisicamente antes do caminhão sair (mercadoria) ou até o faturamento (serviço).</w:t>
      </w:r>
    </w:p>
    <w:p>
      <w:pPr>
        <w:pStyle w:val="Heading3"/>
      </w:pPr>
      <w:r>
        <w:t>4. Faturamento</w:t>
      </w:r>
    </w:p>
    <w:p>
      <w:r>
        <w:t xml:space="preserve">Última etapa do processo de venda. </w:t>
      </w:r>
      <w:r>
        <w:rPr>
          <w:b/>
        </w:rPr>
        <w:t>É neste momento que o sistema calcula os impostos</w:t>
      </w:r>
      <w:r>
        <w:t xml:space="preserve"> (IBS/CBS/IS para mercadoria, ISS para serviço, mais retenções quando aplicáveis) — antes do faturamento o pedido só tem valores de venda, sem imposto. Com o total da nota em mãos, o sistema calcula as parcelas de acordo com a condição de pagamento do cliente e envia ao financeiro um título a receber, pronto para cobrança. </w:t>
      </w:r>
      <w:r>
        <w:rPr>
          <w:b/>
        </w:rPr>
        <w:t>O título a receber é sobre o valor da nota fiscal (venda + impostos, menos retenções), não sobre o valor do orçamento</w:t>
      </w:r>
      <w:r>
        <w:t xml:space="preserve"> — a venda "vira dinheiro a receber" pelo valor que realmente vai constar no documento fiscal.</w:t>
      </w:r>
    </w:p>
    <w:p>
      <w:r>
        <w:t xml:space="preserve">Como dito acima, isso pode acontecer </w:t>
      </w:r>
      <w:r>
        <w:rPr>
          <w:b/>
        </w:rPr>
        <w:t>antes</w:t>
      </w:r>
      <w:r>
        <w:t xml:space="preserve"> de existir emissão de NF-e/NFS-e dentro do próprio ERP — o faturamento sistêmico (calcular imposto e gerar o título financeiro) é independente da emissão da nota em si nesta fase do projeto.</w:t>
      </w:r>
    </w:p>
    <w:p>
      <w:pPr>
        <w:pStyle w:val="Heading3"/>
      </w:pPr>
      <w:r>
        <w:t>Cancelamento</w:t>
      </w:r>
    </w:p>
    <w:p>
      <w:r>
        <w:t>Pode ser feito em qualquer etapa antes do faturamento, sempre com um motivo obrigatório. Depois de faturado, o pedido não pode mais ser cancelado dentro do fluxo de vendas — qualquer estorno passa a ser um assunto do financeiro (renegociação, distrato), não mais do módulo de vendas.</w:t>
      </w:r>
    </w:p>
    <w:p>
      <w:pPr>
        <w:spacing w:before="80" w:after="200"/>
        <w:pBdr>
          <w:bottom w:val="single" w:sz="6" w:space="1" w:color="A0A0A0"/>
        </w:pBdr>
      </w:pPr>
    </w:p>
    <w:p>
      <w:pPr>
        <w:pStyle w:val="Heading2"/>
      </w:pPr>
      <w:r>
        <w:t>Resumo das regras de negócio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4680"/>
          </w:tcPr>
          <w:p>
            <w:r>
              <w:t>Preço sem cadastro no motor de preço</w:t>
            </w:r>
          </w:p>
        </w:tc>
        <w:tc>
          <w:tcPr>
            <w:tcW w:type="dxa" w:w="4680"/>
          </w:tcPr>
          <w:p>
            <w:r>
              <w:t>Vendedor digita manualmente; fica marcado como preço manual</w:t>
            </w:r>
          </w:p>
        </w:tc>
      </w:tr>
      <w:tr>
        <w:tc>
          <w:tcPr>
            <w:tcW w:type="dxa" w:w="4680"/>
          </w:tcPr>
          <w:p>
            <w:r>
              <w:t>Desconto do vendedor</w:t>
            </w:r>
          </w:p>
        </w:tc>
        <w:tc>
          <w:tcPr>
            <w:tcW w:type="dxa" w:w="4680"/>
          </w:tcPr>
          <w:p>
            <w:r>
              <w:t>Livre, sem teto, auditado em relatório</w:t>
            </w:r>
          </w:p>
        </w:tc>
      </w:tr>
      <w:tr>
        <w:tc>
          <w:tcPr>
            <w:tcW w:type="dxa" w:w="4680"/>
          </w:tcPr>
          <w:p>
            <w:r>
              <w:t>Limite de crédito estourado</w:t>
            </w:r>
          </w:p>
        </w:tc>
        <w:tc>
          <w:tcPr>
            <w:tcW w:type="dxa" w:w="4680"/>
          </w:tcPr>
          <w:p>
            <w:r>
              <w:t>Bloqueio "soft" — pedido fica pendente, liberável por permissão especial</w:t>
            </w:r>
          </w:p>
        </w:tc>
      </w:tr>
      <w:tr>
        <w:tc>
          <w:tcPr>
            <w:tcW w:type="dxa" w:w="4680"/>
          </w:tcPr>
          <w:p>
            <w:r>
              <w:t>Saldo de estoque</w:t>
            </w:r>
          </w:p>
        </w:tc>
        <w:tc>
          <w:tcPr>
            <w:tcW w:type="dxa" w:w="4680"/>
          </w:tcPr>
          <w:p>
            <w:r>
              <w:t xml:space="preserve">Baixa/estorno automáticos já funcionam; bloqueio por saldo insuficiente existe mas está desligado (chave </w:t>
            </w:r>
            <w:r>
              <w:rPr>
                <w:rFonts w:ascii="Consolas" w:hAnsi="Consolas"/>
                <w:sz w:val="19"/>
              </w:rPr>
              <w:t>estoque.bloquear-saida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>
              <w:t>Item de serviço</w:t>
            </w:r>
          </w:p>
        </w:tc>
        <w:tc>
          <w:tcPr>
            <w:tcW w:type="dxa" w:w="4680"/>
          </w:tcPr>
          <w:p>
            <w:r>
              <w:t>Não passa por expedição/estoque; vai direto da confirmação ao faturamento</w:t>
            </w:r>
          </w:p>
        </w:tc>
      </w:tr>
      <w:tr>
        <w:tc>
          <w:tcPr>
            <w:tcW w:type="dxa" w:w="4680"/>
          </w:tcPr>
          <w:p>
            <w:r>
              <w:t>Impostos</w:t>
            </w:r>
          </w:p>
        </w:tc>
        <w:tc>
          <w:tcPr>
            <w:tcW w:type="dxa" w:w="4680"/>
          </w:tcPr>
          <w:p>
            <w:r>
              <w:t>Calculados no faturamento (IBS/CBS/IS/ISS + retenções); título a receber é sobre o valor da nota, não do orçamento</w:t>
            </w:r>
          </w:p>
        </w:tc>
      </w:tr>
      <w:tr>
        <w:tc>
          <w:tcPr>
            <w:tcW w:type="dxa" w:w="4680"/>
          </w:tcPr>
          <w:p>
            <w:r>
              <w:t>Nota fiscal (NF-e/NFS-e)</w:t>
            </w:r>
          </w:p>
        </w:tc>
        <w:tc>
          <w:tcPr>
            <w:tcW w:type="dxa" w:w="4680"/>
          </w:tcPr>
          <w:p>
            <w:r>
              <w:t>Emitida por fora do sistema por enquanto; faturamento sistêmico não depende dela</w:t>
            </w:r>
          </w:p>
        </w:tc>
      </w:tr>
      <w:tr>
        <w:tc>
          <w:tcPr>
            <w:tcW w:type="dxa" w:w="4680"/>
          </w:tcPr>
          <w:p>
            <w:r>
              <w:t>Cancelamento</w:t>
            </w:r>
          </w:p>
        </w:tc>
        <w:tc>
          <w:tcPr>
            <w:tcW w:type="dxa" w:w="4680"/>
          </w:tcPr>
          <w:p>
            <w:r>
              <w:t>Permitido até antes do faturamento, com motivo obrigatório</w:t>
            </w:r>
          </w:p>
        </w:tc>
      </w:tr>
    </w:tbl>
    <w:p/>
    <w:p>
      <w:pPr>
        <w:pStyle w:val="Heading2"/>
      </w:pPr>
      <w:r>
        <w:t>O que fica de fora por enquanto</w:t>
      </w:r>
    </w:p>
    <w:p>
      <w:pPr>
        <w:pStyle w:val="ListBullet"/>
      </w:pPr>
      <w:r>
        <w:t xml:space="preserve">Emissão de NF-e/NFC-e/NFS-e dentro do sistema (o </w:t>
      </w:r>
      <w:r>
        <w:rPr>
          <w:rFonts w:ascii="Consolas" w:hAnsi="Consolas"/>
          <w:sz w:val="19"/>
        </w:rPr>
        <w:t>fiscal-service</w:t>
      </w:r>
      <w:r>
        <w:t xml:space="preserve"> já existe e já calcula os impostos da venda; falta só a emissão — NF-e entra na expedição, NFS-e entra no faturamento).</w:t>
      </w:r>
    </w:p>
    <w:p>
      <w:pPr>
        <w:pStyle w:val="ListBullet"/>
      </w:pPr>
      <w:r>
        <w:t>Bloqueio de expedição por saldo insuficiente (o controle de saldo já existe e já é alimentado pela expedição; falta só ligar a chave depois da carga do saldo inicial).</w:t>
      </w:r>
    </w:p>
    <w:p>
      <w:pPr>
        <w:pStyle w:val="ListBullet"/>
      </w:pPr>
      <w:r>
        <w:t>Teto/alçada de desconto por perfil de vendedor.</w:t>
      </w:r>
    </w:p>
    <w:p>
      <w:pPr>
        <w:pStyle w:val="ListBullet"/>
      </w:pPr>
      <w:r>
        <w:t>Devolução de mercadoria (RMA).</w:t>
      </w:r>
    </w:p>
    <w:p>
      <w:pPr>
        <w:pStyle w:val="ListBullet"/>
      </w:pPr>
      <w:r>
        <w:t>Comissão de vendedor (spec própria, futura).</w:t>
      </w:r>
    </w:p>
    <w:p>
      <w:pPr>
        <w:pStyle w:val="ListBullet"/>
      </w:pPr>
      <w:r>
        <w:t>Faturamento parcial ou recorrente de serviço (medição, mensalidade) — primeira evolução prevista depois do MVP.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Fernandes Ferreira</dc:creator>
  <cp:keywords/>
  <dc:description/>
  <cp:lastModifiedBy>Vitor Fernandes Ferreira</cp:lastModifiedBy>
  <cp:revision>1</cp:revision>
  <dcterms:created xsi:type="dcterms:W3CDTF">2026-09-08T13:08:07Z</dcterms:created>
  <dcterms:modified xsi:type="dcterms:W3CDTF">2026-09-08T13:08:07Z</dcterms:modified>
  <cp:category/>
</cp:coreProperties>
</file>