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— Compras: visão funcional</w:t>
      </w:r>
    </w:p>
    <w:p>
      <w:r>
        <w:rPr>
          <w:b/>
        </w:rPr>
        <w:t>Status:</w:t>
      </w:r>
      <w:r>
        <w:t xml:space="preserve"> decisões fechadas · </w:t>
      </w:r>
      <w:r>
        <w:rPr>
          <w:b/>
        </w:rPr>
        <w:t>Data:</w:t>
      </w:r>
      <w:r>
        <w:t xml:space="preserve"> 2026-07-11 · </w:t>
      </w:r>
      <w:r>
        <w:rPr>
          <w:b/>
        </w:rPr>
        <w:t>Rev.:</w:t>
      </w:r>
      <w:r>
        <w:t xml:space="preserve"> 8 de setembro de 2026 (nota de implementação: módulo ainda não codificado; correção da frase sobre motor fiscal) · </w:t>
      </w:r>
      <w:r>
        <w:rPr>
          <w:b/>
        </w:rPr>
        <w:t>Módulo:</w:t>
      </w:r>
      <w:r>
        <w:t xml:space="preserve"> </w:t>
      </w:r>
      <w:r>
        <w:rPr>
          <w:rFonts w:ascii="Consolas" w:hAnsi="Consolas"/>
          <w:sz w:val="19"/>
        </w:rPr>
        <w:t>operacoes-service</w:t>
      </w:r>
      <w:r>
        <w:t xml:space="preserve"> (microsserviço único, também dono de vendas e estoque)</w:t>
      </w:r>
    </w:p>
    <w:p>
      <w:pPr>
        <w:pStyle w:val="IntenseQuote"/>
      </w:pPr>
      <w:r>
        <w:rPr>
          <w:b/>
        </w:rPr>
        <w:t>Implementação:</w:t>
      </w:r>
      <w:r>
        <w:t xml:space="preserve"> diferente de O2C (vendas) e Estoque, que já estão codificados e testados, o P2P </w:t>
      </w:r>
      <w:r>
        <w:rPr>
          <w:b/>
        </w:rPr>
        <w:t>ainda não tem nenhuma linha de código</w:t>
      </w:r>
      <w:r>
        <w:t xml:space="preserve"> em </w:t>
      </w:r>
      <w:r>
        <w:rPr>
          <w:rFonts w:ascii="Consolas" w:hAnsi="Consolas"/>
          <w:sz w:val="19"/>
        </w:rPr>
        <w:t>operacoes-service</w:t>
      </w:r>
      <w:r>
        <w:t xml:space="preserve"> — só a fase 0 de infraestrutura genérica do serviço existe. O texto abaixo descreve o desenho de negócio já fechado com o usuário (o alvo a construir), não o comportamento atual do sistema.</w:t>
      </w:r>
    </w:p>
    <w:p>
      <w:pPr>
        <w:pStyle w:val="IntenseQuote"/>
      </w:pPr>
      <w:r>
        <w:t xml:space="preserve">Este documento descreve o processo de compra em linguagem de negócio — sem schema de banco, endpoint ou detalhe técnico. Para a implementação, ver </w:t>
      </w:r>
      <w:r>
        <w:rPr>
          <w:rFonts w:ascii="Consolas" w:hAnsi="Consolas"/>
          <w:sz w:val="19"/>
        </w:rPr>
        <w:t>spec/p2p-compras.md</w:t>
      </w:r>
      <w:r>
        <w:t>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Objetivo</w:t>
      </w:r>
    </w:p>
    <w:p>
      <w:r>
        <w:t>Levar uma compra da requisição interna até o pagamento ao fornecedor, passando por cotação (opcional), pedido, recebimento de mercadoria e faturamento — entregando ao financeiro um título a pagar pronto.</w:t>
      </w:r>
    </w:p>
    <w:p>
      <w:pPr>
        <w:pStyle w:val="Heading2"/>
      </w:pPr>
      <w:r>
        <w:t>O fluxo, passo a passo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93bab6908cda4b9a11452d90c16426721d6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Requisição de compra (opcional)</w:t>
      </w:r>
    </w:p>
    <w:p>
      <w:r>
        <w:t>Alguém da empresa solicita a compra de um produto, informando quantidade e depósito de destino. Passa por aprovação antes de virar cotação ou pedido.</w:t>
      </w:r>
    </w:p>
    <w:p>
      <w:pPr>
        <w:pStyle w:val="Heading3"/>
      </w:pPr>
      <w:r>
        <w:t>2. Cotação com fornecedores (opcional)</w:t>
      </w:r>
    </w:p>
    <w:p>
      <w:r>
        <w:t>O comprador convida um ou mais fornecedores para dar preço nos itens da requisição (ou avulsos). Cada fornecedor responde com preço, prazo de entrega e condição de pagamento — digitado pelo comprador, já que o fornecedor não tem acesso ao sistema.</w:t>
      </w:r>
    </w:p>
    <w:p>
      <w:r>
        <w:rPr>
          <w:b/>
        </w:rPr>
        <w:t>Critério de desempate</w:t>
      </w:r>
      <w:r>
        <w:t xml:space="preserve"> quando várias cotações competem: 1º menor preço líquido, 2º menor prazo de entrega, 3º melhor condição de pagamento. Em empate total, vale a cotação com validade mais longa ou a mais recente. </w:t>
      </w:r>
      <w:r>
        <w:rPr>
          <w:b/>
        </w:rPr>
        <w:t>No lançamento inicial do módulo</w:t>
      </w:r>
      <w:r>
        <w:t>, porém, essa comparação é só uma referência visual — é o comprador quem escolhe manualmente o vencedor.</w:t>
      </w:r>
    </w:p>
    <w:p>
      <w:r>
        <w:t>Ao encerrar a cotação escolhendo um vencedor, o sistema já gera o pedido de compra automaticamente com os dados daquele fornecedor.</w:t>
      </w:r>
    </w:p>
    <w:p>
      <w:pPr>
        <w:pStyle w:val="Heading3"/>
      </w:pPr>
      <w:r>
        <w:t>3. Pedido de compra</w:t>
      </w:r>
    </w:p>
    <w:p>
      <w:r>
        <w:t>Pode nascer direto (sem requisição nem cotação), de uma requisição aprovada, ou de uma cotação vencedora. Precisa de fornecedor ativo e condição de pagamento definida.</w:t>
      </w:r>
    </w:p>
    <w:p>
      <w:r>
        <w:rPr>
          <w:b/>
        </w:rPr>
        <w:t>Verificação de preço:</w:t>
      </w:r>
      <w:r>
        <w:t xml:space="preserve"> se o preço do item estiver mais de 30% acima do último custo conhecido daquele produto com aquele fornecedor, o sistema </w:t>
      </w:r>
      <w:r>
        <w:rPr>
          <w:b/>
        </w:rPr>
        <w:t>apenas alerta</w:t>
      </w:r>
      <w:r>
        <w:t xml:space="preserve"> — não bloqueia o envio para aprovação. Quem aprova decide se aceita o preço mais alto ou não.</w:t>
      </w:r>
    </w:p>
    <w:p>
      <w:r>
        <w:rPr>
          <w:b/>
        </w:rPr>
        <w:t>Aprovação:</w:t>
      </w:r>
      <w:r>
        <w:t xml:space="preserve"> no lançamento inicial, basta ter a permissão de aprovador — inclusive a própria pessoa que criou o pedido pode aprová-lo (não há separação obrigatória entre quem pede e quem aprova ainda). Alçada por faixa de valor fica para uma fase futura.</w:t>
      </w:r>
    </w:p>
    <w:p>
      <w:pPr>
        <w:pStyle w:val="Heading3"/>
      </w:pPr>
      <w:r>
        <w:t>4. Recebimento de mercadoria</w:t>
      </w:r>
    </w:p>
    <w:p>
      <w:r>
        <w:t>Quando a mercadoria chega, registra-se o recebimento com os dados da nota fiscal de entrada (número, série, valor). Um pedido pode ter vários recebimentos (entregas parciais).</w:t>
      </w:r>
    </w:p>
    <w:p>
      <w:r>
        <w:rPr>
          <w:b/>
        </w:rPr>
        <w:t>Quantidade recebida a maior que o pedido:</w:t>
      </w:r>
      <w:r>
        <w:t xml:space="preserve"> aceita até </w:t>
      </w:r>
      <w:r>
        <w:rPr>
          <w:b/>
        </w:rPr>
        <w:t>5% a mais</w:t>
      </w:r>
      <w:r>
        <w:t xml:space="preserve"> do que foi pedido (cobre diferenças normais de pesagem/conversão de unidade). Acima disso, o sistema </w:t>
      </w:r>
      <w:r>
        <w:rPr>
          <w:b/>
        </w:rPr>
        <w:t>recusa o excesso</w:t>
      </w:r>
      <w:r>
        <w:t xml:space="preserve"> — o pedido já enviado não pode ser editado (só pedidos em rascunho são editáveis), então o ajuste do que sobrou é tratado fora do sistema: devolução ao fornecedor, ou abertura de um pedido novo/complementar para o excedente.</w:t>
      </w:r>
    </w:p>
    <w:p>
      <w:r>
        <w:rPr>
          <w:b/>
        </w:rPr>
        <w:t>Impostos da nota (IBS/CBS/IS):</w:t>
      </w:r>
      <w:r>
        <w:t xml:space="preserve"> no lançamento inicial do recebimento ficam </w:t>
      </w:r>
      <w:r>
        <w:rPr>
          <w:b/>
        </w:rPr>
        <w:t>zerados/informativos</w:t>
      </w:r>
      <w:r>
        <w:t xml:space="preserve"> — não é exigida digitação manual precisa desses valores, só o valor total da nota e dos produtos. Isso evita erro de digitação quebrar a integração com o financeiro. O </w:t>
      </w:r>
      <w:r>
        <w:rPr>
          <w:rFonts w:ascii="Consolas" w:hAnsi="Consolas"/>
          <w:sz w:val="19"/>
        </w:rPr>
        <w:t>fiscal-service</w:t>
      </w:r>
      <w:r>
        <w:t xml:space="preserve"> </w:t>
      </w:r>
      <w:r>
        <w:rPr>
          <w:b/>
        </w:rPr>
        <w:t>já existe e já calcula crédito de entrada</w:t>
      </w:r>
      <w:r>
        <w:t xml:space="preserve"> (IBS/CBS a recuperar, a partir do CFOP e do regime do fornecedor) — o que falta é o recebimento do P2P chamar esse cálculo e persistir o crédito; quando essa integração for feita, o valor passa a ser automático em vez de zerado.</w:t>
      </w:r>
    </w:p>
    <w:p>
      <w:r>
        <w:rPr>
          <w:b/>
        </w:rPr>
        <w:t>Depósito:</w:t>
      </w:r>
      <w:r>
        <w:t xml:space="preserve"> cada recebimento vai para </w:t>
      </w:r>
      <w:r>
        <w:rPr>
          <w:b/>
        </w:rPr>
        <w:t>um único depósito</w:t>
      </w:r>
      <w:r>
        <w:t xml:space="preserve"> (sem dividir a mesma nota entre vários depósitos no lançamento inicial). Distribuir entre depósitos depois de recebido fica fora de escopo por ora — não existe hoje um fluxo de transferência interna no sistema; a movimentação teria que ser feita fora dele.</w:t>
      </w:r>
    </w:p>
    <w:p>
      <w:r>
        <w:t xml:space="preserve">Confirmar o recebimento dá entrada no estoque </w:t>
      </w:r>
      <w:r>
        <w:rPr>
          <w:b/>
        </w:rPr>
        <w:t>imediatamente e na mesma operação</w:t>
      </w:r>
      <w:r>
        <w:t xml:space="preserve"> (recebimento e estoque atualizam juntos — não há espera nem risco de um confirmar sem o outro). </w:t>
      </w:r>
      <w:r>
        <w:rPr>
          <w:b/>
        </w:rPr>
        <w:t>O sistema não valida se há espaço/capacidade no depósito</w:t>
      </w:r>
      <w:r>
        <w:t xml:space="preserve"> — é um registro, sem bloqueio, até essa validação de capacidade física existir; é uma checagem diferente da validação de saldo do lado de vendas (que trava a *expedição* quando não há saldo suficiente para vender) — receber mercadoria só aumenta saldo, então não há "saldo insuficiente" a bloquear aqui. </w:t>
      </w:r>
      <w:r>
        <w:rPr>
          <w:b/>
        </w:rPr>
        <w:t>O preço de custo cadastrado do produto não é atualizado automaticamente</w:t>
      </w:r>
      <w:r>
        <w:t xml:space="preserve"> com o valor da nota — isso é intencional, porque o custo "oficial" do produto envolve frete, seguro, impostos e descontos que a nota sozinha não reflete direito. Fica registrado um campo separado, só informativo, com o último preço de compra, sem mexer no custo contábil do produto.</w:t>
      </w:r>
    </w:p>
    <w:p>
      <w:pPr>
        <w:pStyle w:val="Heading3"/>
      </w:pPr>
      <w:r>
        <w:t>5. Faturamento</w:t>
      </w:r>
    </w:p>
    <w:p>
      <w:r>
        <w:t>Fecha o ciclo: gera o título a pagar para o financeiro, com as parcelas calculadas pela condição de pagamento. Esse aviso é enviado mesmo que o sistema financeiro ainda não exista para recebê-lo agora — quando ele nascer, faz uma carga dos históricos pendentes e passa a escutar dali em diante.</w:t>
      </w:r>
    </w:p>
    <w:p>
      <w:pPr>
        <w:pStyle w:val="Heading3"/>
      </w:pPr>
      <w:r>
        <w:t>Cancelamento</w:t>
      </w:r>
    </w:p>
    <w:p>
      <w:r>
        <w:t>Pode ser feito até o primeiro recebimento confirmado. Depois disso, só é possível "encerrar o saldo restante" (não dá mais pra cancelar o pedido inteiro), preservando o histórico do que já foi recebido.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Resumo das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Preço do item 30% acima do custo conhecido</w:t>
            </w:r>
          </w:p>
        </w:tc>
        <w:tc>
          <w:tcPr>
            <w:tcW w:type="dxa" w:w="4680"/>
          </w:tcPr>
          <w:p>
            <w:r>
              <w:t>Apenas alerta, não bloqueia</w:t>
            </w:r>
          </w:p>
        </w:tc>
      </w:tr>
      <w:tr>
        <w:tc>
          <w:tcPr>
            <w:tcW w:type="dxa" w:w="4680"/>
          </w:tcPr>
          <w:p>
            <w:r>
              <w:t>Recebimento acima da quantidade pedida</w:t>
            </w:r>
          </w:p>
        </w:tc>
        <w:tc>
          <w:tcPr>
            <w:tcW w:type="dxa" w:w="4680"/>
          </w:tcPr>
          <w:p>
            <w:r>
              <w:t>Tolera até +5%; acima disso, bloqueia</w:t>
            </w:r>
          </w:p>
        </w:tc>
      </w:tr>
      <w:tr>
        <w:tc>
          <w:tcPr>
            <w:tcW w:type="dxa" w:w="4680"/>
          </w:tcPr>
          <w:p>
            <w:r>
              <w:t>Escolha do vencedor da cotação</w:t>
            </w:r>
          </w:p>
        </w:tc>
        <w:tc>
          <w:tcPr>
            <w:tcW w:type="dxa" w:w="4680"/>
          </w:tcPr>
          <w:p>
            <w:r>
              <w:t>Critério automático de desempate existe, mas escolha é manual no lançamento inicial</w:t>
            </w:r>
          </w:p>
        </w:tc>
      </w:tr>
      <w:tr>
        <w:tc>
          <w:tcPr>
            <w:tcW w:type="dxa" w:w="4680"/>
          </w:tcPr>
          <w:p>
            <w:r>
              <w:t>Aprovação do pedido</w:t>
            </w:r>
          </w:p>
        </w:tc>
        <w:tc>
          <w:tcPr>
            <w:tcW w:type="dxa" w:w="4680"/>
          </w:tcPr>
          <w:p>
            <w:r>
              <w:t>Permissão única; o próprio solicitante pode aprovar</w:t>
            </w:r>
          </w:p>
        </w:tc>
      </w:tr>
      <w:tr>
        <w:tc>
          <w:tcPr>
            <w:tcW w:type="dxa" w:w="4680"/>
          </w:tcPr>
          <w:p>
            <w:r>
              <w:t>Impostos da nota de entrada</w:t>
            </w:r>
          </w:p>
        </w:tc>
        <w:tc>
          <w:tcPr>
            <w:tcW w:type="dxa" w:w="4680"/>
          </w:tcPr>
          <w:p>
            <w:r>
              <w:t xml:space="preserve">Zerados/informativos até o recebimento chamar o </w:t>
            </w:r>
            <w:r>
              <w:rPr>
                <w:rFonts w:ascii="Consolas" w:hAnsi="Consolas"/>
                <w:sz w:val="19"/>
              </w:rPr>
              <w:t>fiscal-service</w:t>
            </w:r>
            <w:r>
              <w:t xml:space="preserve"> (o motor de cálculo de crédito já existe, só falta a integração)</w:t>
            </w:r>
          </w:p>
        </w:tc>
      </w:tr>
      <w:tr>
        <w:tc>
          <w:tcPr>
            <w:tcW w:type="dxa" w:w="4680"/>
          </w:tcPr>
          <w:p>
            <w:r>
              <w:t>Atualização do preço de custo do produto</w:t>
            </w:r>
          </w:p>
        </w:tc>
        <w:tc>
          <w:tcPr>
            <w:tcW w:type="dxa" w:w="4680"/>
          </w:tcPr>
          <w:p>
            <w:r>
              <w:t>Não é automática — fica um campo separado só informativo</w:t>
            </w:r>
          </w:p>
        </w:tc>
      </w:tr>
      <w:tr>
        <w:tc>
          <w:tcPr>
            <w:tcW w:type="dxa" w:w="4680"/>
          </w:tcPr>
          <w:p>
            <w:r>
              <w:t>Depósito por recebimento</w:t>
            </w:r>
          </w:p>
        </w:tc>
        <w:tc>
          <w:tcPr>
            <w:tcW w:type="dxa" w:w="4680"/>
          </w:tcPr>
          <w:p>
            <w:r>
              <w:t>Um único depósito por recebimento</w:t>
            </w:r>
          </w:p>
        </w:tc>
      </w:tr>
    </w:tbl>
    <w:p/>
    <w:p>
      <w:pPr>
        <w:pStyle w:val="Heading2"/>
      </w:pPr>
      <w:r>
        <w:t>O que fica de fora por enquanto</w:t>
      </w:r>
    </w:p>
    <w:p>
      <w:pPr>
        <w:pStyle w:val="ListBullet"/>
      </w:pPr>
      <w:r>
        <w:t xml:space="preserve">Cálculo automático de impostos/crédito (IBS/CBS/IS) no recebimento — o </w:t>
      </w:r>
      <w:r>
        <w:rPr>
          <w:rFonts w:ascii="Consolas" w:hAnsi="Consolas"/>
          <w:sz w:val="19"/>
        </w:rPr>
        <w:t>fiscal-service</w:t>
      </w:r>
      <w:r>
        <w:t xml:space="preserve"> já calcula, falta o P2P chamá-lo e persistir o resultado.</w:t>
      </w:r>
    </w:p>
    <w:p>
      <w:pPr>
        <w:pStyle w:val="ListBullet"/>
      </w:pPr>
      <w:r>
        <w:t>Alçada de aprovação por faixa de valor / segregação solicitante ≠ aprovador.</w:t>
      </w:r>
    </w:p>
    <w:p>
      <w:pPr>
        <w:pStyle w:val="ListBullet"/>
      </w:pPr>
      <w:r>
        <w:t>Portal do fornecedor (resposta de cotação online, sem depender do comprador digitar).</w:t>
      </w:r>
    </w:p>
    <w:p>
      <w:pPr>
        <w:pStyle w:val="ListBullet"/>
      </w:pPr>
      <w:r>
        <w:t>Sugestão automática de compra por ponto de reposição de estoque.</w:t>
      </w:r>
    </w:p>
    <w:p>
      <w:pPr>
        <w:pStyle w:val="ListBullet"/>
      </w:pPr>
      <w:r>
        <w:t>Devolução ao fornecedor.</w:t>
      </w:r>
    </w:p>
    <w:p>
      <w:pPr>
        <w:pStyle w:val="ListBullet"/>
      </w:pPr>
      <w:r>
        <w:t>Rateio de recebimento entre múltiplos depósitos.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Fernandes Ferreira</dc:creator>
  <cp:keywords/>
  <dc:description/>
  <cp:lastModifiedBy>Vitor Fernandes Ferreira</cp:lastModifiedBy>
  <cp:revision>1</cp:revision>
  <dcterms:created xsi:type="dcterms:W3CDTF">2026-09-08T13:22:47Z</dcterms:created>
  <dcterms:modified xsi:type="dcterms:W3CDTF">2026-09-08T13:22:47Z</dcterms:modified>
  <cp:category/>
</cp:coreProperties>
</file>