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22"/>
          <w:szCs w:val="22"/>
        </w:rPr>
        <w:t xml:space="preserve">ULTRA-DETAILED</w:t>
      </w:r>
    </w:p>
    <w:p>
      <w:pPr>
        <w:jc w:val="center"/>
      </w:pPr>
      <w:r>
        <w:rPr>
          <w:rFonts w:ascii="Arial" w:cs="Arial" w:eastAsia="Arial" w:hAnsi="Arial"/>
          <w:b/>
          <w:bCs/>
          <w:color w:val="1F4E79"/>
          <w:sz w:val="30"/>
          <w:szCs w:val="30"/>
        </w:rPr>
        <w:t xml:space="preserve">NEUROMARKETING TACTICS</w:t>
      </w:r>
    </w:p>
    <w:p>
      <w:pPr>
        <w:spacing w:after="80"/>
        <w:jc w:val="center"/>
      </w:pPr>
      <w:r>
        <w:rPr>
          <w:rFonts w:ascii="Arial" w:cs="Arial" w:eastAsia="Arial" w:hAnsi="Arial"/>
          <w:b/>
          <w:bCs/>
          <w:color w:val="1F4E79"/>
          <w:sz w:val="30"/>
          <w:szCs w:val="30"/>
        </w:rPr>
        <w:t xml:space="preserve">COMPENDIUM</w:t>
      </w:r>
    </w:p>
    <w:p>
      <w:pPr>
        <w:spacing w:after="160"/>
        <w:jc w:val="center"/>
      </w:pPr>
      <w:r>
        <w:rPr>
          <w:rFonts w:ascii="Arial" w:cs="Arial" w:eastAsia="Arial" w:hAnsi="Arial"/>
          <w:color w:val="2E75B6"/>
          <w:sz w:val="17"/>
          <w:szCs w:val="17"/>
        </w:rPr>
        <w:t xml:space="preserve">Deep Research Edition — Expanded</w:t>
      </w:r>
    </w:p>
    <w:p>
      <w:pPr>
        <w:jc w:val="center"/>
      </w:pPr>
      <w:r>
        <w:rPr>
          <w:rFonts w:ascii="Arial" w:cs="Arial" w:eastAsia="Arial" w:hAnsi="Arial"/>
          <w:color w:val="555555"/>
          <w:sz w:val="15"/>
          <w:szCs w:val="15"/>
        </w:rPr>
        <w:t xml:space="preserve">Academic papers • Research institutes • Commercial literature</w:t>
      </w:r>
    </w:p>
    <w:p>
      <w:pPr>
        <w:jc w:val="center"/>
      </w:pPr>
      <w:r>
        <w:rPr>
          <w:rFonts w:ascii="Arial" w:cs="Arial" w:eastAsia="Arial" w:hAnsi="Arial"/>
          <w:color w:val="555555"/>
          <w:sz w:val="15"/>
          <w:szCs w:val="15"/>
        </w:rPr>
        <w:t xml:space="preserve">Reddit &amp; practitioner discussions • Industry applications</w:t>
      </w:r>
    </w:p>
    <w:p>
      <w:pPr>
        <w:spacing w:after="80" w:before="200"/>
        <w:jc w:val="center"/>
      </w:pPr>
      <w:r>
        <w:rPr>
          <w:rFonts w:ascii="Arial" w:cs="Arial" w:eastAsia="Arial" w:hAnsi="Arial"/>
          <w:color w:val="404040"/>
          <w:sz w:val="15"/>
          <w:szCs w:val="15"/>
        </w:rPr>
        <w:t xml:space="preserve">Industries covered in depth:</w:t>
      </w:r>
    </w:p>
    <w:p>
      <w:pPr>
        <w:jc w:val="center"/>
      </w:pPr>
      <w:r>
        <w:rPr>
          <w:rFonts w:ascii="Arial" w:cs="Arial" w:eastAsia="Arial" w:hAnsi="Arial"/>
          <w:b/>
          <w:bCs/>
          <w:color w:val="333333"/>
          <w:sz w:val="15"/>
          <w:szCs w:val="15"/>
        </w:rPr>
        <w:t xml:space="preserve">Food &amp; Beverage  •  Fashion  •  Health &amp; Fitness</w:t>
      </w:r>
    </w:p>
    <w:p>
      <w:pPr>
        <w:jc w:val="center"/>
      </w:pPr>
      <w:r>
        <w:rPr>
          <w:rFonts w:ascii="Arial" w:cs="Arial" w:eastAsia="Arial" w:hAnsi="Arial"/>
          <w:b/>
          <w:bCs/>
          <w:color w:val="333333"/>
          <w:sz w:val="15"/>
          <w:szCs w:val="15"/>
        </w:rPr>
        <w:t xml:space="preserve">Beauty / Skincare  •  Coaching, Creators &amp; Online Education</w:t>
      </w:r>
    </w:p>
    <w:p>
      <w:r>
        <w:br w:type="page"/>
      </w:r>
    </w:p>
    <w:p>
      <w:pPr>
        <w:pStyle w:val="Heading1"/>
      </w:pPr>
      <w:r>
        <w:t xml:space="preserve">1. Foundations of Neuromarketing</w:t>
      </w:r>
    </w:p>
    <w:p>
      <w:pPr>
        <w:spacing w:after="60"/>
      </w:pPr>
      <w:r>
        <w:rPr>
          <w:rFonts w:ascii="Arial" w:cs="Arial" w:eastAsia="Arial" w:hAnsi="Arial"/>
          <w:sz w:val="18"/>
          <w:szCs w:val="18"/>
        </w:rPr>
        <w:t xml:space="preserve">Neuromarketing sits at the intersection of neuroscience, psychology, and marketing. It seeks to measure and influence the largely non-conscious processes that drive attention, emotion, preference, memory, and choice. Foundational estimates (Zaltman and subsequent consumer neuroscience literature) indicate that a substantial majority of purchase-related processing—frequently cited near 95%—occurs outside full conscious awareness. Self-report methods therefore capture post-decision rationalization more reliably than the original drivers.</w:t>
      </w:r>
    </w:p>
    <w:p>
      <w:pPr>
        <w:spacing w:after="60"/>
      </w:pPr>
      <w:r>
        <w:rPr>
          <w:rFonts w:ascii="Arial" w:cs="Arial" w:eastAsia="Arial" w:hAnsi="Arial"/>
          <w:sz w:val="18"/>
          <w:szCs w:val="18"/>
        </w:rPr>
        <w:t xml:space="preserve">Key neural systems repeatedly implicated in consumer studies include: the amygdala (rapid emotional and threat evaluation), the nucleus accumbens and ventral striatum (reward anticipation and liking), the insula (aversive signals including the “pain of paying”), medial and orbitofrontal prefrontal regions (valuation and integration), and visual attention networks that determine what is even processed. Dual-process models (System 1 fast/emotional vs System 2 slow/deliberative) provide a practical organizing frame: most commercial decisions are initiated by System 1 and later justified by System 2.</w:t>
      </w:r>
    </w:p>
    <w:p>
      <w:pPr>
        <w:spacing w:after="60"/>
      </w:pPr>
      <w:r>
        <w:rPr>
          <w:rFonts w:ascii="Arial" w:cs="Arial" w:eastAsia="Arial" w:hAnsi="Arial"/>
          <w:sz w:val="18"/>
          <w:szCs w:val="18"/>
        </w:rPr>
        <w:t xml:space="preserve">Academic work using fMRI, EEG, eye-tracking, galvanic skin response (GSR/EDA), facial coding, and hybrid designs has shown that emotional and reward-related signals often predict preference and choice more accurately than stated liking. Systematic reviews and meta-analyses (including work published in Brain Informatics and related outlets) highlight frontal alpha asymmetry (FAA) and the late positive potential (LPP) on EEG as relatively consistent markers of emotional valence and motivational direction. Hybrid EEG + eye-tracking pipelines improve classification of buy/no-buy intent. fMRI remains valuable for deeper reward and emotional processes and has been shown in some neuroforecasting studies to improve sales predictions for innovative products beyond survey data alone.</w:t>
      </w:r>
    </w:p>
    <w:p>
      <w:pPr>
        <w:pStyle w:val="Heading2"/>
      </w:pPr>
      <w:r>
        <w:t xml:space="preserve">1.1 Core Measurement Toolkit</w:t>
      </w:r>
    </w:p>
    <w:tbl>
      <w:tblPr>
        <w:tblW w:type="dxa" w:w="1054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000"/>
        <w:gridCol w:w="2940"/>
      </w:tblGrid>
      <w:tr>
        <w:tc>
          <w:tcPr>
            <w:tcW w:type="dxa" w:w="16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4"/>
                <w:szCs w:val="14"/>
              </w:rPr>
              <w:t xml:space="preserve">Tool</w:t>
            </w:r>
          </w:p>
        </w:tc>
        <w:tc>
          <w:tcPr>
            <w:tcW w:type="dxa" w:w="30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4"/>
                <w:szCs w:val="14"/>
              </w:rPr>
              <w:t xml:space="preserve">Primary signal</w:t>
            </w:r>
          </w:p>
        </w:tc>
        <w:tc>
          <w:tcPr>
            <w:tcW w:type="dxa" w:w="30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4"/>
                <w:szCs w:val="14"/>
              </w:rPr>
              <w:t xml:space="preserve">Typical marketing use</w:t>
            </w:r>
          </w:p>
        </w:tc>
        <w:tc>
          <w:tcPr>
            <w:tcW w:type="dxa" w:w="294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4"/>
                <w:szCs w:val="14"/>
              </w:rPr>
              <w:t xml:space="preserve">Key constraints</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fMRI</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BOLD / regional blood flow</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Deep emotion, reward, pricing pain, memory</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Cost, lab, slow temporal resolution</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EEG</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Electrical activity, timing, load, FAA/LPP</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Engagement, cognitive load, preference signals</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Lower spatial precision</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Eye-tracking</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Gaze, fixations, pupil</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Attention heatmaps, packaging, UX, ads</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Location ≠ full motivation</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GSR/EDA</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Skin conductance / arousal</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Emotional intensity</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Valence often ambiguous</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Facial coding</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Action units / micro-expressions</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Spontaneous emotion to video/pack</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Visibility, cultural factors</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Biometrics</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HR, respiration, etc.</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Arousal / stress proxies</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Non-specific</w:t>
            </w:r>
          </w:p>
        </w:tc>
      </w:tr>
      <w:tr>
        <w:tc>
          <w:tcPr>
            <w:tcW w:type="dxa" w:w="16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bCs/>
                <w:color w:val="333333"/>
                <w:sz w:val="14"/>
                <w:szCs w:val="14"/>
              </w:rPr>
              <w:t xml:space="preserve">IAT</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Reaction-time associations</w:t>
            </w:r>
          </w:p>
        </w:tc>
        <w:tc>
          <w:tcPr>
            <w:tcW w:type="dxa" w:w="300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Implicit brand/category links</w:t>
            </w:r>
          </w:p>
        </w:tc>
        <w:tc>
          <w:tcPr>
            <w:tcW w:type="dxa" w:w="2940"/>
            <w:tcBorders>
              <w:top w:val="single" w:color="CCCCCC" w:sz="1"/>
              <w:left w:val="single" w:color="CCCCCC" w:sz="1"/>
              <w:bottom w:val="single" w:color="CCCCCC" w:sz="1"/>
              <w:right w:val="single" w:color="CCCCCC" w:sz="1"/>
            </w:tcBorders>
            <w:tcMar>
              <w:top w:type="dxa" w:w="35"/>
              <w:left w:type="dxa" w:w="50"/>
              <w:bottom w:type="dxa" w:w="35"/>
              <w:right w:type="dxa" w:w="50"/>
            </w:tcMar>
          </w:tcPr>
          <w:p>
            <w:pPr>
              <w:jc w:val="left"/>
            </w:pPr>
            <w:r>
              <w:rPr>
                <w:rFonts w:ascii="Arial" w:cs="Arial" w:eastAsia="Arial" w:hAnsi="Arial"/>
                <w:b w:val="false"/>
                <w:bCs w:val="false"/>
                <w:color w:val="333333"/>
                <w:sz w:val="14"/>
                <w:szCs w:val="14"/>
              </w:rPr>
              <w:t xml:space="preserve">Not direct neural</w:t>
            </w:r>
          </w:p>
        </w:tc>
      </w:tr>
    </w:tbl>
    <w:p>
      <w:pPr>
        <w:spacing w:after="60"/>
      </w:pPr>
      <w:r>
        <w:rPr>
          <w:rFonts w:ascii="Arial" w:cs="Arial" w:eastAsia="Arial" w:hAnsi="Arial"/>
          <w:sz w:val="18"/>
          <w:szCs w:val="18"/>
        </w:rPr>
        <w:t xml:space="preserve">Practical implication for strategy work: even without lab access, the tactics below are derived from what these tools repeatedly surface. Design for attention first, emotion and reward second, cognitive ease and social safety third, and only then rational justification.</w:t>
      </w:r>
    </w:p>
    <w:p>
      <w:pPr>
        <w:pStyle w:val="Heading1"/>
      </w:pPr>
      <w:r>
        <w:t xml:space="preserve">2. Master Catalog of Neuromarketing Tactics (Expanded)</w:t>
      </w:r>
    </w:p>
    <w:p>
      <w:pPr>
        <w:spacing w:after="60"/>
      </w:pPr>
      <w:r>
        <w:rPr>
          <w:rFonts w:ascii="Arial" w:cs="Arial" w:eastAsia="Arial" w:hAnsi="Arial"/>
          <w:sz w:val="18"/>
          <w:szCs w:val="18"/>
        </w:rPr>
        <w:t xml:space="preserve">Each tactic is described with mechanism, evidence notes, implementation guidance, and common pitfalls. Tactics are rarely used in isolation; high-performing campaigns stack several.</w:t>
      </w:r>
    </w:p>
    <w:p>
      <w:pPr>
        <w:pStyle w:val="Heading2"/>
      </w:pPr>
      <w:r>
        <w:t xml:space="preserve">2.1 Attention &amp; Visual Processing</w:t>
      </w:r>
    </w:p>
    <w:p>
      <w:pPr>
        <w:pStyle w:val="Heading3"/>
      </w:pPr>
      <w:r>
        <w:t xml:space="preserve">High-contrast / motion first-frame interrupt</w:t>
      </w:r>
    </w:p>
    <w:p>
      <w:pPr>
        <w:spacing w:after="60"/>
      </w:pPr>
      <w:r>
        <w:rPr>
          <w:rFonts w:ascii="Arial" w:cs="Arial" w:eastAsia="Arial" w:hAnsi="Arial"/>
          <w:sz w:val="18"/>
          <w:szCs w:val="18"/>
        </w:rPr>
        <w:t xml:space="preserve">Mechanism: Reptilian and early visual systems prioritize sudden change, motion, and high contrast. In feed environments, the first 1–3 seconds largely determine whether further processing occurs. Practitioner and commercial testing (including short-form video studies) consistently show that static or low-contrast openings lose the majority of viewers before System 2 engages.</w:t>
      </w:r>
    </w:p>
    <w:p>
      <w:pPr>
        <w:spacing w:after="60"/>
      </w:pPr>
      <w:r>
        <w:rPr>
          <w:rFonts w:ascii="Arial" w:cs="Arial" w:eastAsia="Arial" w:hAnsi="Arial"/>
          <w:sz w:val="18"/>
          <w:szCs w:val="18"/>
        </w:rPr>
        <w:t xml:space="preserve">Implementation: Sudden zoom, hand entering frame, product motion, unexpected cut, or high-contrast color block. Overlay scarcity or curiosity text only after the interrupt lands. Test multiple opening frames aggressively.</w:t>
      </w:r>
    </w:p>
    <w:p>
      <w:pPr>
        <w:spacing w:after="60"/>
      </w:pPr>
      <w:r>
        <w:rPr>
          <w:rFonts w:ascii="Arial" w:cs="Arial" w:eastAsia="Arial" w:hAnsi="Arial"/>
          <w:sz w:val="18"/>
          <w:szCs w:val="18"/>
        </w:rPr>
        <w:t xml:space="preserve">Pitfall: Overloading the first frame with price or heavy CTA can reduce stopping power.</w:t>
      </w:r>
    </w:p>
    <w:p>
      <w:pPr>
        <w:pStyle w:val="Heading3"/>
      </w:pPr>
      <w:r>
        <w:t xml:space="preserve">Faces and direct gaze</w:t>
      </w:r>
    </w:p>
    <w:p>
      <w:pPr>
        <w:spacing w:after="60"/>
      </w:pPr>
      <w:r>
        <w:rPr>
          <w:rFonts w:ascii="Arial" w:cs="Arial" w:eastAsia="Arial" w:hAnsi="Arial"/>
          <w:sz w:val="18"/>
          <w:szCs w:val="18"/>
        </w:rPr>
        <w:t xml:space="preserve">Mechanism: Faces are prioritized by the visual system; direct gaze can engage amygdala-related social and trust circuits and increase felt connection (mirror-neuron and social cognition literature). Averted gaze can pull the viewer into a narrative scene.</w:t>
      </w:r>
    </w:p>
    <w:p>
      <w:pPr>
        <w:spacing w:after="60"/>
      </w:pPr>
      <w:r>
        <w:rPr>
          <w:rFonts w:ascii="Arial" w:cs="Arial" w:eastAsia="Arial" w:hAnsi="Arial"/>
          <w:sz w:val="18"/>
          <w:szCs w:val="18"/>
        </w:rPr>
        <w:t xml:space="preserve">Implementation: Real faces with natural expression outperform stock in most trust and engagement metrics. For authority or credibility, direct gaze; for story immersion, averted or contextual gaze. Combine with authentic micro-expressions.</w:t>
      </w:r>
    </w:p>
    <w:p>
      <w:pPr>
        <w:spacing w:after="60"/>
      </w:pPr>
      <w:r>
        <w:rPr>
          <w:rFonts w:ascii="Arial" w:cs="Arial" w:eastAsia="Arial" w:hAnsi="Arial"/>
          <w:sz w:val="18"/>
          <w:szCs w:val="18"/>
        </w:rPr>
        <w:t xml:space="preserve">Pitfall: Overly polished or “model-only” faces can reduce authenticity signals in UGC-heavy categories.</w:t>
      </w:r>
    </w:p>
    <w:p>
      <w:pPr>
        <w:pStyle w:val="Heading3"/>
      </w:pPr>
      <w:r>
        <w:t xml:space="preserve">Visual hierarchy (Z/F patterns) and size isolation</w:t>
      </w:r>
    </w:p>
    <w:p>
      <w:pPr>
        <w:spacing w:after="60"/>
      </w:pPr>
      <w:r>
        <w:rPr>
          <w:rFonts w:ascii="Arial" w:cs="Arial" w:eastAsia="Arial" w:hAnsi="Arial"/>
          <w:sz w:val="18"/>
          <w:szCs w:val="18"/>
        </w:rPr>
        <w:t xml:space="preserve">Mechanism: Eye-tracking studies across web, packaging, and advertising show predictable scan paths. Larger or isolated elements are treated as more important. Hierarchy reduces cognitive load by telling the brain where to look first.</w:t>
      </w:r>
    </w:p>
    <w:p>
      <w:pPr>
        <w:spacing w:after="60"/>
      </w:pPr>
      <w:r>
        <w:rPr>
          <w:rFonts w:ascii="Arial" w:cs="Arial" w:eastAsia="Arial" w:hAnsi="Arial"/>
          <w:sz w:val="18"/>
          <w:szCs w:val="18"/>
        </w:rPr>
        <w:t xml:space="preserve">Implementation: Place primary benefit and CTA in high-probability fixation zones. Use size, contrast, and whitespace deliberately. Validate with heatmaps or attention proxies when possible.</w:t>
      </w:r>
    </w:p>
    <w:p>
      <w:pPr>
        <w:pStyle w:val="Heading3"/>
      </w:pPr>
      <w:r>
        <w:t xml:space="preserve">Von Restorff (isolation) effect</w:t>
      </w:r>
    </w:p>
    <w:p>
      <w:pPr>
        <w:spacing w:after="60"/>
      </w:pPr>
      <w:r>
        <w:rPr>
          <w:rFonts w:ascii="Arial" w:cs="Arial" w:eastAsia="Arial" w:hAnsi="Arial"/>
          <w:sz w:val="18"/>
          <w:szCs w:val="18"/>
        </w:rPr>
        <w:t xml:space="preserve">Mechanism: Distinctive items are remembered and preferred more than items that blend into a set. Useful for packaging, pricing tiers, and feature call-outs.</w:t>
      </w:r>
    </w:p>
    <w:p>
      <w:pPr>
        <w:spacing w:after="60"/>
      </w:pPr>
      <w:r>
        <w:rPr>
          <w:rFonts w:ascii="Arial" w:cs="Arial" w:eastAsia="Arial" w:hAnsi="Arial"/>
          <w:sz w:val="18"/>
          <w:szCs w:val="18"/>
        </w:rPr>
        <w:t xml:space="preserve">Implementation: Make the target option visually or verbally different (color, shape, badge, wording) without breaking overall brand system.</w:t>
      </w:r>
    </w:p>
    <w:p>
      <w:pPr>
        <w:pStyle w:val="Heading3"/>
      </w:pPr>
      <w:r>
        <w:t xml:space="preserve">Odd-number lists and headlines</w:t>
      </w:r>
    </w:p>
    <w:p>
      <w:pPr>
        <w:spacing w:after="60"/>
      </w:pPr>
      <w:r>
        <w:rPr>
          <w:rFonts w:ascii="Arial" w:cs="Arial" w:eastAsia="Arial" w:hAnsi="Arial"/>
          <w:sz w:val="18"/>
          <w:szCs w:val="18"/>
        </w:rPr>
        <w:t xml:space="preserve">Mechanism: Odd counts (3, 5, 7) feel less “closed” and are often more memorable and scannable than even counts. Frequently recommended in conversion and copy literature.</w:t>
      </w:r>
    </w:p>
    <w:p>
      <w:pPr>
        <w:spacing w:after="60"/>
      </w:pPr>
      <w:r>
        <w:rPr>
          <w:rFonts w:ascii="Arial" w:cs="Arial" w:eastAsia="Arial" w:hAnsi="Arial"/>
          <w:sz w:val="18"/>
          <w:szCs w:val="18"/>
        </w:rPr>
        <w:t xml:space="preserve">Implementation: Prefer “3 reasons,” “5 steps,” “7 mistakes” structures when listing benefits or steps.</w:t>
      </w:r>
    </w:p>
    <w:p>
      <w:pPr>
        <w:pStyle w:val="Heading3"/>
      </w:pPr>
      <w:r>
        <w:t xml:space="preserve">Color as dual attention + emotion cue</w:t>
      </w:r>
    </w:p>
    <w:p>
      <w:pPr>
        <w:spacing w:after="60"/>
      </w:pPr>
      <w:r>
        <w:rPr>
          <w:rFonts w:ascii="Arial" w:cs="Arial" w:eastAsia="Arial" w:hAnsi="Arial"/>
          <w:sz w:val="18"/>
          <w:szCs w:val="18"/>
        </w:rPr>
        <w:t xml:space="preserve">Mechanism: Color is processed early and carries strong associative and physiological effects (appetite, urgency, calm, status). Industry conventions exist because they match category expectations and neural associations.</w:t>
      </w:r>
    </w:p>
    <w:p>
      <w:pPr>
        <w:spacing w:after="60"/>
      </w:pPr>
      <w:r>
        <w:rPr>
          <w:rFonts w:ascii="Arial" w:cs="Arial" w:eastAsia="Arial" w:hAnsi="Arial"/>
          <w:sz w:val="18"/>
          <w:szCs w:val="18"/>
        </w:rPr>
        <w:t xml:space="preserve">Quick map: Red/yellow — urgency, appetite, energy (strong in FnB and promotions). Blue — trust, calm, competence. Green — health, nature, growth. Black/gold — luxury, power. White/silver — purity, clinical. Pink/magenta — care, approachability (beauty/wellness). Always test against brand and audience.</w:t>
      </w:r>
    </w:p>
    <w:p>
      <w:pPr>
        <w:pStyle w:val="Heading2"/>
      </w:pPr>
      <w:r>
        <w:t xml:space="preserve">2.2 Emotional &amp; Reward Tactics</w:t>
      </w:r>
    </w:p>
    <w:p>
      <w:pPr>
        <w:pStyle w:val="Heading3"/>
      </w:pPr>
      <w:r>
        <w:t xml:space="preserve">Emotional storytelling arc</w:t>
      </w:r>
    </w:p>
    <w:p>
      <w:pPr>
        <w:spacing w:after="60"/>
      </w:pPr>
      <w:r>
        <w:rPr>
          <w:rFonts w:ascii="Arial" w:cs="Arial" w:eastAsia="Arial" w:hAnsi="Arial"/>
          <w:sz w:val="18"/>
          <w:szCs w:val="18"/>
        </w:rPr>
        <w:t xml:space="preserve">Mechanism: Narrative structure (problem → tension → resolution) engages limbic processing and improves memory encoding relative to pure feature lists. Emotionally charged content is more likely to be remembered and shared.</w:t>
      </w:r>
    </w:p>
    <w:p>
      <w:pPr>
        <w:spacing w:after="60"/>
      </w:pPr>
      <w:r>
        <w:rPr>
          <w:rFonts w:ascii="Arial" w:cs="Arial" w:eastAsia="Arial" w:hAnsi="Arial"/>
          <w:sz w:val="18"/>
          <w:szCs w:val="18"/>
        </w:rPr>
        <w:t xml:space="preserve">Implementation: Open with a relatable struggle or desire, show empathy, present the solution as transformation, end on a clear positive state. Keep the arc short in paid media; expand in long-form.</w:t>
      </w:r>
    </w:p>
    <w:p>
      <w:pPr>
        <w:pStyle w:val="Heading3"/>
      </w:pPr>
      <w:r>
        <w:t xml:space="preserve">Transformation / identity narrative</w:t>
      </w:r>
    </w:p>
    <w:p>
      <w:pPr>
        <w:spacing w:after="60"/>
      </w:pPr>
      <w:r>
        <w:rPr>
          <w:rFonts w:ascii="Arial" w:cs="Arial" w:eastAsia="Arial" w:hAnsi="Arial"/>
          <w:sz w:val="18"/>
          <w:szCs w:val="18"/>
        </w:rPr>
        <w:t xml:space="preserve">Mechanism: People buy better versions of themselves. Showing the identity shift (not only the product) activates reward and self-relevant processing. Especially powerful in beauty, fitness, and coaching.</w:t>
      </w:r>
    </w:p>
    <w:p>
      <w:pPr>
        <w:spacing w:after="60"/>
      </w:pPr>
      <w:r>
        <w:rPr>
          <w:rFonts w:ascii="Arial" w:cs="Arial" w:eastAsia="Arial" w:hAnsi="Arial"/>
          <w:sz w:val="18"/>
          <w:szCs w:val="18"/>
        </w:rPr>
        <w:t xml:space="preserve">Implementation: Before/after that emphasizes emotion and identity (“confident,” “in control,” “the version of me that…”) rather than only physical metrics. Use real customer language.</w:t>
      </w:r>
    </w:p>
    <w:p>
      <w:pPr>
        <w:pStyle w:val="Heading3"/>
      </w:pPr>
      <w:r>
        <w:t xml:space="preserve">Anticipated reward, progress, and variable rewards</w:t>
      </w:r>
    </w:p>
    <w:p>
      <w:pPr>
        <w:spacing w:after="60"/>
      </w:pPr>
      <w:r>
        <w:rPr>
          <w:rFonts w:ascii="Arial" w:cs="Arial" w:eastAsia="Arial" w:hAnsi="Arial"/>
          <w:sz w:val="18"/>
          <w:szCs w:val="18"/>
        </w:rPr>
        <w:t xml:space="preserve">Mechanism: Dopamine systems respond strongly to anticipated reward and to unpredictable reinforcement. Visible progress reduces drop-off; variable rewards maintain engagement.</w:t>
      </w:r>
    </w:p>
    <w:p>
      <w:pPr>
        <w:spacing w:after="60"/>
      </w:pPr>
      <w:r>
        <w:rPr>
          <w:rFonts w:ascii="Arial" w:cs="Arial" w:eastAsia="Arial" w:hAnsi="Arial"/>
          <w:sz w:val="18"/>
          <w:szCs w:val="18"/>
        </w:rPr>
        <w:t xml:space="preserve">Implementation: Progress bars, streaks, unlockable content, random bonuses, “you’re 80% there” messaging. Design the reward schedule deliberately in apps, courses, and loyalty programs.</w:t>
      </w:r>
    </w:p>
    <w:p>
      <w:pPr>
        <w:pStyle w:val="Heading3"/>
      </w:pPr>
      <w:r>
        <w:t xml:space="preserve">Peak-end rule</w:t>
      </w:r>
    </w:p>
    <w:p>
      <w:pPr>
        <w:spacing w:after="60"/>
      </w:pPr>
      <w:r>
        <w:rPr>
          <w:rFonts w:ascii="Arial" w:cs="Arial" w:eastAsia="Arial" w:hAnsi="Arial"/>
          <w:sz w:val="18"/>
          <w:szCs w:val="18"/>
        </w:rPr>
        <w:t xml:space="preserve">Mechanism: Retrospective evaluation of an experience is disproportionately influenced by the peak emotional moment and the ending. Documented across psychology and applied experience design.</w:t>
      </w:r>
    </w:p>
    <w:p>
      <w:pPr>
        <w:spacing w:after="60"/>
      </w:pPr>
      <w:r>
        <w:rPr>
          <w:rFonts w:ascii="Arial" w:cs="Arial" w:eastAsia="Arial" w:hAnsi="Arial"/>
          <w:sz w:val="18"/>
          <w:szCs w:val="18"/>
        </w:rPr>
        <w:t xml:space="preserve">Implementation: Engineer a clear emotional high point and a strong, positive close (unboxing, first-use ritual, final lesson payoff, celebration moment). Do not let experiences trail off.</w:t>
      </w:r>
    </w:p>
    <w:p>
      <w:pPr>
        <w:pStyle w:val="Heading3"/>
      </w:pPr>
      <w:r>
        <w:t xml:space="preserve">Humor, nostalgia, belonging, common enemy</w:t>
      </w:r>
    </w:p>
    <w:p>
      <w:pPr>
        <w:spacing w:after="60"/>
      </w:pPr>
      <w:r>
        <w:rPr>
          <w:rFonts w:ascii="Arial" w:cs="Arial" w:eastAsia="Arial" w:hAnsi="Arial"/>
          <w:sz w:val="18"/>
          <w:szCs w:val="18"/>
        </w:rPr>
        <w:t xml:space="preserve">Mechanism: Positive valence increases approach; nostalgia activates autobiographical memory and warmth; belonging reduces social risk; a shared enemy creates rapid in-group cohesion.</w:t>
      </w:r>
    </w:p>
    <w:p>
      <w:pPr>
        <w:spacing w:after="60"/>
      </w:pPr>
      <w:r>
        <w:rPr>
          <w:rFonts w:ascii="Arial" w:cs="Arial" w:eastAsia="Arial" w:hAnsi="Arial"/>
          <w:sz w:val="18"/>
          <w:szCs w:val="18"/>
        </w:rPr>
        <w:t xml:space="preserve">Implementation: Use selectively and on-brand. Common-enemy framing works well against a pain or bad habit the audience already resents.</w:t>
      </w:r>
    </w:p>
    <w:p>
      <w:pPr>
        <w:pStyle w:val="Heading2"/>
      </w:pPr>
      <w:r>
        <w:t xml:space="preserve">2.3 Cognitive Bias &amp; Choice Architecture</w:t>
      </w:r>
    </w:p>
    <w:p>
      <w:pPr>
        <w:pStyle w:val="Heading3"/>
      </w:pPr>
      <w:r>
        <w:t xml:space="preserve">Framing effect</w:t>
      </w:r>
    </w:p>
    <w:p>
      <w:pPr>
        <w:spacing w:after="60"/>
      </w:pPr>
      <w:r>
        <w:rPr>
          <w:rFonts w:ascii="Arial" w:cs="Arial" w:eastAsia="Arial" w:hAnsi="Arial"/>
          <w:sz w:val="18"/>
          <w:szCs w:val="18"/>
        </w:rPr>
        <w:t xml:space="preserve">Mechanism: Identical facts produce different choices depending on positive vs negative frame. Classic demonstration: “80% fat-free” vs “20% fat.” Positive frames generally increase preference.</w:t>
      </w:r>
    </w:p>
    <w:p>
      <w:pPr>
        <w:spacing w:after="60"/>
      </w:pPr>
      <w:r>
        <w:rPr>
          <w:rFonts w:ascii="Arial" w:cs="Arial" w:eastAsia="Arial" w:hAnsi="Arial"/>
          <w:sz w:val="18"/>
          <w:szCs w:val="18"/>
        </w:rPr>
        <w:t xml:space="preserve">Implementation: Default to gain or success frames (“95% of customers…,” “keep your progress,” “protect your results”). Test loss frames carefully when urgency is required.</w:t>
      </w:r>
    </w:p>
    <w:p>
      <w:pPr>
        <w:pStyle w:val="Heading3"/>
      </w:pPr>
      <w:r>
        <w:t xml:space="preserve">Anchoring</w:t>
      </w:r>
    </w:p>
    <w:p>
      <w:pPr>
        <w:spacing w:after="60"/>
      </w:pPr>
      <w:r>
        <w:rPr>
          <w:rFonts w:ascii="Arial" w:cs="Arial" w:eastAsia="Arial" w:hAnsi="Arial"/>
          <w:sz w:val="18"/>
          <w:szCs w:val="18"/>
        </w:rPr>
        <w:t xml:space="preserve">Mechanism: The first number or claim becomes the reference point for subsequent judgments. Strongly documented in pricing and valuation studies.</w:t>
      </w:r>
    </w:p>
    <w:p>
      <w:pPr>
        <w:spacing w:after="60"/>
      </w:pPr>
      <w:r>
        <w:rPr>
          <w:rFonts w:ascii="Arial" w:cs="Arial" w:eastAsia="Arial" w:hAnsi="Arial"/>
          <w:sz w:val="18"/>
          <w:szCs w:val="18"/>
        </w:rPr>
        <w:t xml:space="preserve">Implementation: Show the higher or stronger option first. Use original price, competitor price, or premium package as the anchor before revealing the target offer.</w:t>
      </w:r>
    </w:p>
    <w:p>
      <w:pPr>
        <w:pStyle w:val="Heading3"/>
      </w:pPr>
      <w:r>
        <w:t xml:space="preserve">Decoy effect / Rule of 3</w:t>
      </w:r>
    </w:p>
    <w:p>
      <w:pPr>
        <w:spacing w:after="60"/>
      </w:pPr>
      <w:r>
        <w:rPr>
          <w:rFonts w:ascii="Arial" w:cs="Arial" w:eastAsia="Arial" w:hAnsi="Arial"/>
          <w:sz w:val="18"/>
          <w:szCs w:val="18"/>
        </w:rPr>
        <w:t xml:space="preserve">Mechanism: Adding an asymmetrically dominated option shifts preference toward the target. Three options are cognitively manageable and allow a clear “recommended” middle or value choice.</w:t>
      </w:r>
    </w:p>
    <w:p>
      <w:pPr>
        <w:spacing w:after="60"/>
      </w:pPr>
      <w:r>
        <w:rPr>
          <w:rFonts w:ascii="Arial" w:cs="Arial" w:eastAsia="Arial" w:hAnsi="Arial"/>
          <w:sz w:val="18"/>
          <w:szCs w:val="18"/>
        </w:rPr>
        <w:t xml:space="preserve">Implementation: Design a three-tier ladder where one option makes the intended choice look superior on the dimensions that matter. Avoid more than three primary options when possible.</w:t>
      </w:r>
    </w:p>
    <w:p>
      <w:pPr>
        <w:pStyle w:val="Heading3"/>
      </w:pPr>
      <w:r>
        <w:t xml:space="preserve">Scarcity, loss aversion, FOMO</w:t>
      </w:r>
    </w:p>
    <w:p>
      <w:pPr>
        <w:spacing w:after="60"/>
      </w:pPr>
      <w:r>
        <w:rPr>
          <w:rFonts w:ascii="Arial" w:cs="Arial" w:eastAsia="Arial" w:hAnsi="Arial"/>
          <w:sz w:val="18"/>
          <w:szCs w:val="18"/>
        </w:rPr>
        <w:t xml:space="preserve">Mechanism: Losses loom larger than equivalent gains. Scarcity signals potential loss and can activate urgency-related circuitry. Real scarcity outperforms fabricated scarcity once trust is considered.</w:t>
      </w:r>
    </w:p>
    <w:p>
      <w:pPr>
        <w:spacing w:after="60"/>
      </w:pPr>
      <w:r>
        <w:rPr>
          <w:rFonts w:ascii="Arial" w:cs="Arial" w:eastAsia="Arial" w:hAnsi="Arial"/>
          <w:sz w:val="18"/>
          <w:szCs w:val="18"/>
        </w:rPr>
        <w:t xml:space="preserve">Implementation: Use genuine inventory or time limits. Pair with social proof (“X people viewing”). Avoid fake countdown timers that damage long-term trust.</w:t>
      </w:r>
    </w:p>
    <w:p>
      <w:pPr>
        <w:pStyle w:val="Heading3"/>
      </w:pPr>
      <w:r>
        <w:t xml:space="preserve">Social proof</w:t>
      </w:r>
    </w:p>
    <w:p>
      <w:pPr>
        <w:spacing w:after="60"/>
      </w:pPr>
      <w:r>
        <w:rPr>
          <w:rFonts w:ascii="Arial" w:cs="Arial" w:eastAsia="Arial" w:hAnsi="Arial"/>
          <w:sz w:val="18"/>
          <w:szCs w:val="18"/>
        </w:rPr>
        <w:t xml:space="preserve">Mechanism: Under uncertainty, people copy others. Specific, identity-matched, face-based proof reduces perceived risk more than generic claims.</w:t>
      </w:r>
    </w:p>
    <w:p>
      <w:pPr>
        <w:spacing w:after="60"/>
      </w:pPr>
      <w:r>
        <w:rPr>
          <w:rFonts w:ascii="Arial" w:cs="Arial" w:eastAsia="Arial" w:hAnsi="Arial"/>
          <w:sz w:val="18"/>
          <w:szCs w:val="18"/>
        </w:rPr>
        <w:t xml:space="preserve">Implementation: Numbers + faces + concrete outcomes. Place proof near decision points. “People like me” language and UGC outperform polished testimonials in many categories.</w:t>
      </w:r>
    </w:p>
    <w:p>
      <w:pPr>
        <w:pStyle w:val="Heading3"/>
      </w:pPr>
      <w:r>
        <w:t xml:space="preserve">Authority, reciprocity, commitment/consistency</w:t>
      </w:r>
    </w:p>
    <w:p>
      <w:pPr>
        <w:spacing w:after="60"/>
      </w:pPr>
      <w:r>
        <w:rPr>
          <w:rFonts w:ascii="Arial" w:cs="Arial" w:eastAsia="Arial" w:hAnsi="Arial"/>
          <w:sz w:val="18"/>
          <w:szCs w:val="18"/>
        </w:rPr>
        <w:t xml:space="preserve">Mechanism: Authority shortcuts evaluation; reciprocity creates obligation after receiving value; small commitments increase later consistency.</w:t>
      </w:r>
    </w:p>
    <w:p>
      <w:pPr>
        <w:spacing w:after="60"/>
      </w:pPr>
      <w:r>
        <w:rPr>
          <w:rFonts w:ascii="Arial" w:cs="Arial" w:eastAsia="Arial" w:hAnsi="Arial"/>
          <w:sz w:val="18"/>
          <w:szCs w:val="18"/>
        </w:rPr>
        <w:t xml:space="preserve">Implementation: Credentials, data, expert faces for authority. Free value or samples first for reciprocity. Micro-commitments (quiz, public goal, small purchase) before larger asks.</w:t>
      </w:r>
    </w:p>
    <w:p>
      <w:pPr>
        <w:pStyle w:val="Heading3"/>
      </w:pPr>
      <w:r>
        <w:t xml:space="preserve">Endowment / IKEA effect, paradox of choice, affordability illusion, contrast</w:t>
      </w:r>
    </w:p>
    <w:p>
      <w:pPr>
        <w:spacing w:after="60"/>
      </w:pPr>
      <w:r>
        <w:rPr>
          <w:rFonts w:ascii="Arial" w:cs="Arial" w:eastAsia="Arial" w:hAnsi="Arial"/>
          <w:sz w:val="18"/>
          <w:szCs w:val="18"/>
        </w:rPr>
        <w:t xml:space="preserve">Mechanism: Ownership feeling or personal effort raises valuation. Too many options increase abandonment (Hick’s Law). Breaking price into daily amounts reduces sticker shock. Contrast changes perceived value.</w:t>
      </w:r>
    </w:p>
    <w:p>
      <w:pPr>
        <w:spacing w:after="60"/>
      </w:pPr>
      <w:r>
        <w:rPr>
          <w:rFonts w:ascii="Arial" w:cs="Arial" w:eastAsia="Arial" w:hAnsi="Arial"/>
          <w:sz w:val="18"/>
          <w:szCs w:val="18"/>
        </w:rPr>
        <w:t xml:space="preserve">Implementation: Trials, customization, and co-creation for endowment. Curate or progressive-disclose options. Use “less than $X/day” framing. Place target next to a more expensive or less attractive alternative.</w:t>
      </w:r>
    </w:p>
    <w:p>
      <w:pPr>
        <w:pStyle w:val="Heading3"/>
      </w:pPr>
      <w:r>
        <w:t xml:space="preserve">Mere exposure and Zeigarnik</w:t>
      </w:r>
    </w:p>
    <w:p>
      <w:pPr>
        <w:spacing w:after="60"/>
      </w:pPr>
      <w:r>
        <w:rPr>
          <w:rFonts w:ascii="Arial" w:cs="Arial" w:eastAsia="Arial" w:hAnsi="Arial"/>
          <w:sz w:val="18"/>
          <w:szCs w:val="18"/>
        </w:rPr>
        <w:t xml:space="preserve">Mechanism: Repeated neutral exposure increases liking. Incomplete tasks remain more memorable and create tension toward completion.</w:t>
      </w:r>
    </w:p>
    <w:p>
      <w:pPr>
        <w:spacing w:after="60"/>
      </w:pPr>
      <w:r>
        <w:rPr>
          <w:rFonts w:ascii="Arial" w:cs="Arial" w:eastAsia="Arial" w:hAnsi="Arial"/>
          <w:sz w:val="18"/>
          <w:szCs w:val="18"/>
        </w:rPr>
        <w:t xml:space="preserve">Implementation: Consistent distinctive assets across touchpoints. Series content, open loops, and multi-part challenges that invite completion.</w:t>
      </w:r>
    </w:p>
    <w:p>
      <w:pPr>
        <w:pStyle w:val="Heading2"/>
      </w:pPr>
      <w:r>
        <w:t xml:space="preserve">2.4 Sensory, Pricing, Memory &amp; Habit</w:t>
      </w:r>
    </w:p>
    <w:p>
      <w:pPr>
        <w:pStyle w:val="Heading3"/>
      </w:pPr>
      <w:r>
        <w:t xml:space="preserve">Multisensory congruence and packaging</w:t>
      </w:r>
    </w:p>
    <w:p>
      <w:pPr>
        <w:spacing w:after="60"/>
      </w:pPr>
      <w:r>
        <w:rPr>
          <w:rFonts w:ascii="Arial" w:cs="Arial" w:eastAsia="Arial" w:hAnsi="Arial"/>
          <w:sz w:val="18"/>
          <w:szCs w:val="18"/>
        </w:rPr>
        <w:t xml:space="preserve">Mechanism: Combined sensory channels produce stronger responses than single channels. Packaging decisions occur in seconds; finish, color, imagery, and shape are heavily tested with eye-tracking and emotional measures. Classic commercial cases (e.g., Frito-Lay matte vs shiny) changed designs after subconscious measures diverged from focus-group language.</w:t>
      </w:r>
    </w:p>
    <w:p>
      <w:pPr>
        <w:spacing w:after="60"/>
      </w:pPr>
      <w:r>
        <w:rPr>
          <w:rFonts w:ascii="Arial" w:cs="Arial" w:eastAsia="Arial" w:hAnsi="Arial"/>
          <w:sz w:val="18"/>
          <w:szCs w:val="18"/>
        </w:rPr>
        <w:t xml:space="preserve">Implementation: Align visual, implied tactile, and (where relevant) scent or sound. Test packaging variants on attention and emotional response, not only stated preference.</w:t>
      </w:r>
    </w:p>
    <w:p>
      <w:pPr>
        <w:pStyle w:val="Heading3"/>
      </w:pPr>
      <w:r>
        <w:t xml:space="preserve">Pain of paying and pricing architecture</w:t>
      </w:r>
    </w:p>
    <w:p>
      <w:pPr>
        <w:spacing w:after="60"/>
      </w:pPr>
      <w:r>
        <w:rPr>
          <w:rFonts w:ascii="Arial" w:cs="Arial" w:eastAsia="Arial" w:hAnsi="Arial"/>
          <w:sz w:val="18"/>
          <w:szCs w:val="18"/>
        </w:rPr>
        <w:t xml:space="preserve">Mechanism: Salient high prices increase insula-related aversive signals. Framing, bundling, free shipping, payment plans, and abstraction (credit, subscription) reduce the felt pain.</w:t>
      </w:r>
    </w:p>
    <w:p>
      <w:pPr>
        <w:spacing w:after="60"/>
      </w:pPr>
      <w:r>
        <w:rPr>
          <w:rFonts w:ascii="Arial" w:cs="Arial" w:eastAsia="Arial" w:hAnsi="Arial"/>
          <w:sz w:val="18"/>
          <w:szCs w:val="18"/>
        </w:rPr>
        <w:t xml:space="preserve">Implementation: High anchor then target price; charm pricing for value tiers; round numbers for prestige; value stacks that make the total feel larger than the price; remove or hide friction at checkout.</w:t>
      </w:r>
    </w:p>
    <w:p>
      <w:pPr>
        <w:pStyle w:val="Heading3"/>
      </w:pPr>
      <w:r>
        <w:t xml:space="preserve">Memory encoding and habit loops</w:t>
      </w:r>
    </w:p>
    <w:p>
      <w:pPr>
        <w:spacing w:after="60"/>
      </w:pPr>
      <w:r>
        <w:rPr>
          <w:rFonts w:ascii="Arial" w:cs="Arial" w:eastAsia="Arial" w:hAnsi="Arial"/>
          <w:sz w:val="18"/>
          <w:szCs w:val="18"/>
        </w:rPr>
        <w:t xml:space="preserve">Mechanism: Emotion + repetition with variation + distinctive cues improve long-term memory. Habits form through cue–routine–reward loops with immediate feedback.</w:t>
      </w:r>
    </w:p>
    <w:p>
      <w:pPr>
        <w:spacing w:after="60"/>
      </w:pPr>
      <w:r>
        <w:rPr>
          <w:rFonts w:ascii="Arial" w:cs="Arial" w:eastAsia="Arial" w:hAnsi="Arial"/>
          <w:sz w:val="18"/>
          <w:szCs w:val="18"/>
        </w:rPr>
        <w:t xml:space="preserve">Implementation: Distinctive brand assets, emotional peaks, spaced exposure. In fitness and education, visible progress and quick wins are non-negotiable for retention.</w:t>
      </w:r>
    </w:p>
    <w:p>
      <w:r>
        <w:br w:type="page"/>
      </w:r>
    </w:p>
    <w:p>
      <w:pPr>
        <w:pStyle w:val="Heading1"/>
      </w:pPr>
      <w:r>
        <w:t xml:space="preserve">3. Industry Playbooks — Expanded Tactics &amp; Examples</w:t>
      </w:r>
    </w:p>
    <w:p>
      <w:pPr>
        <w:pStyle w:val="Heading2"/>
      </w:pPr>
      <w:r>
        <w:t xml:space="preserve">3.1 Food &amp; Beverage</w:t>
      </w:r>
    </w:p>
    <w:p>
      <w:pPr>
        <w:spacing w:after="60"/>
      </w:pPr>
      <w:r>
        <w:rPr>
          <w:rFonts w:ascii="Arial" w:cs="Arial" w:eastAsia="Arial" w:hAnsi="Arial"/>
          <w:sz w:val="18"/>
          <w:szCs w:val="18"/>
        </w:rPr>
        <w:t xml:space="preserve">Primary neural drivers: multisensory integration (sight, smell, implied taste/texture), craving and reward, taste memory, health-versus-indulgence conflict, rapid packaging decisions (~7 seconds).</w:t>
      </w:r>
    </w:p>
    <w:p>
      <w:pPr>
        <w:pStyle w:val="Heading3"/>
      </w:pPr>
      <w:r>
        <w:t xml:space="preserve">Priority tactics with detail</w:t>
      </w:r>
    </w:p>
    <w:p>
      <w:pPr>
        <w:pStyle w:val="ListParagraph"/>
        <w:numPr>
          <w:ilvl w:val="0"/>
          <w:numId w:val="2"/>
        </w:numPr>
        <w:spacing w:after="28"/>
      </w:pPr>
      <w:r>
        <w:rPr>
          <w:rFonts w:ascii="Arial" w:cs="Arial" w:eastAsia="Arial" w:hAnsi="Arial"/>
          <w:sz w:val="18"/>
          <w:szCs w:val="18"/>
        </w:rPr>
        <w:t xml:space="preserve">Packaging science: Test matte vs glossy, ingredient imagery vs finished-product imagery, color, and shape. Eye-tracking and EEG/facial data have reversed decisions that focus groups alone supported. Round shapes lean indulgent; angular lean energetic.</w:t>
      </w:r>
    </w:p>
    <w:p>
      <w:pPr>
        <w:pStyle w:val="ListParagraph"/>
        <w:numPr>
          <w:ilvl w:val="0"/>
          <w:numId w:val="2"/>
        </w:numPr>
        <w:spacing w:after="28"/>
      </w:pPr>
      <w:r>
        <w:rPr>
          <w:rFonts w:ascii="Arial" w:cs="Arial" w:eastAsia="Arial" w:hAnsi="Arial"/>
          <w:sz w:val="18"/>
          <w:szCs w:val="18"/>
        </w:rPr>
        <w:t xml:space="preserve">Aroma and sampling: Congruent scent at point of sale or sampling stations can lift impulse purchase. Sampling simultaneously delivers reciprocity and sensory reward.</w:t>
      </w:r>
    </w:p>
    <w:p>
      <w:pPr>
        <w:pStyle w:val="ListParagraph"/>
        <w:numPr>
          <w:ilvl w:val="0"/>
          <w:numId w:val="2"/>
        </w:numPr>
        <w:spacing w:after="28"/>
      </w:pPr>
      <w:r>
        <w:rPr>
          <w:rFonts w:ascii="Arial" w:cs="Arial" w:eastAsia="Arial" w:hAnsi="Arial"/>
          <w:sz w:val="18"/>
          <w:szCs w:val="18"/>
        </w:rPr>
        <w:t xml:space="preserve">Menu and assortment architecture: Limit options per category (cognitive load). Use visual hierarchy and placement to guide high-margin items. Positive framing of health attributes outperforms pure nutrient lists for engagement.</w:t>
      </w:r>
    </w:p>
    <w:p>
      <w:pPr>
        <w:pStyle w:val="ListParagraph"/>
        <w:numPr>
          <w:ilvl w:val="0"/>
          <w:numId w:val="2"/>
        </w:numPr>
        <w:spacing w:after="28"/>
      </w:pPr>
      <w:r>
        <w:rPr>
          <w:rFonts w:ascii="Arial" w:cs="Arial" w:eastAsia="Arial" w:hAnsi="Arial"/>
          <w:sz w:val="18"/>
          <w:szCs w:val="18"/>
        </w:rPr>
        <w:t xml:space="preserve">First-frame sensory: Steam, pour, texture, bite, or sizzle in the opening seconds of video. Emotional positioning (comfort, energy, social bonding, nostalgia) often beats pure functional claims.</w:t>
      </w:r>
    </w:p>
    <w:p>
      <w:pPr>
        <w:pStyle w:val="ListParagraph"/>
        <w:numPr>
          <w:ilvl w:val="0"/>
          <w:numId w:val="2"/>
        </w:numPr>
        <w:spacing w:after="28"/>
      </w:pPr>
      <w:r>
        <w:rPr>
          <w:rFonts w:ascii="Arial" w:cs="Arial" w:eastAsia="Arial" w:hAnsi="Arial"/>
          <w:sz w:val="18"/>
          <w:szCs w:val="18"/>
        </w:rPr>
        <w:t xml:space="preserve">Scarcity and social proof: Limited or seasonal flavors; real-user meal UGC and “trending” signals.</w:t>
      </w:r>
    </w:p>
    <w:p>
      <w:pPr>
        <w:pStyle w:val="Heading3"/>
      </w:pPr>
      <w:r>
        <w:t xml:space="preserve">Funnel &amp; retention notes</w:t>
      </w:r>
    </w:p>
    <w:p>
      <w:pPr>
        <w:spacing w:after="60"/>
      </w:pPr>
      <w:r>
        <w:rPr>
          <w:rFonts w:ascii="Arial" w:cs="Arial" w:eastAsia="Arial" w:hAnsi="Arial"/>
          <w:sz w:val="18"/>
          <w:szCs w:val="18"/>
        </w:rPr>
        <w:t xml:space="preserve">Hero creative must trigger appetite or comfort immediately. Reduce checkout friction. Design first-taste and reorder loops. Brand as emotional experience (happiness, energy, comfort) rather than only product attributes.</w:t>
      </w:r>
    </w:p>
    <w:p>
      <w:pPr>
        <w:pStyle w:val="Heading2"/>
      </w:pPr>
      <w:r>
        <w:t xml:space="preserve">3.2 Fashion</w:t>
      </w:r>
    </w:p>
    <w:p>
      <w:pPr>
        <w:spacing w:after="60"/>
      </w:pPr>
      <w:r>
        <w:rPr>
          <w:rFonts w:ascii="Arial" w:cs="Arial" w:eastAsia="Arial" w:hAnsi="Arial"/>
          <w:sz w:val="18"/>
          <w:szCs w:val="18"/>
        </w:rPr>
        <w:t xml:space="preserve">Primary neural drivers: identity and status signaling, tactile pleasure, visual attention, social comparison and FOMO, color as category and emotion cue.</w:t>
      </w:r>
    </w:p>
    <w:p>
      <w:pPr>
        <w:pStyle w:val="Heading3"/>
      </w:pPr>
      <w:r>
        <w:t xml:space="preserve">Priority tactics with detail</w:t>
      </w:r>
    </w:p>
    <w:p>
      <w:pPr>
        <w:pStyle w:val="ListParagraph"/>
        <w:numPr>
          <w:ilvl w:val="0"/>
          <w:numId w:val="2"/>
        </w:numPr>
        <w:spacing w:after="28"/>
      </w:pPr>
      <w:r>
        <w:rPr>
          <w:rFonts w:ascii="Arial" w:cs="Arial" w:eastAsia="Arial" w:hAnsi="Arial"/>
          <w:sz w:val="18"/>
          <w:szCs w:val="18"/>
        </w:rPr>
        <w:t xml:space="preserve">Attention-mapped presentation: Use eye-tracking logic for digital and physical merchandising—where the eye goes first determines what is considered.</w:t>
      </w:r>
    </w:p>
    <w:p>
      <w:pPr>
        <w:pStyle w:val="ListParagraph"/>
        <w:numPr>
          <w:ilvl w:val="0"/>
          <w:numId w:val="2"/>
        </w:numPr>
        <w:spacing w:after="28"/>
      </w:pPr>
      <w:r>
        <w:rPr>
          <w:rFonts w:ascii="Arial" w:cs="Arial" w:eastAsia="Arial" w:hAnsi="Arial"/>
          <w:sz w:val="18"/>
          <w:szCs w:val="18"/>
        </w:rPr>
        <w:t xml:space="preserve">Tactile simulation: High-resolution fabric and movement imagery; language that evokes feel. Try-on or fit tools create endowment.</w:t>
      </w:r>
    </w:p>
    <w:p>
      <w:pPr>
        <w:pStyle w:val="ListParagraph"/>
        <w:numPr>
          <w:ilvl w:val="0"/>
          <w:numId w:val="2"/>
        </w:numPr>
        <w:spacing w:after="28"/>
      </w:pPr>
      <w:r>
        <w:rPr>
          <w:rFonts w:ascii="Arial" w:cs="Arial" w:eastAsia="Arial" w:hAnsi="Arial"/>
          <w:sz w:val="18"/>
          <w:szCs w:val="18"/>
        </w:rPr>
        <w:t xml:space="preserve">Identity language and aspiration: “For people who…” and lifestyle context outperform pure product shots for many segments.</w:t>
      </w:r>
    </w:p>
    <w:p>
      <w:pPr>
        <w:pStyle w:val="ListParagraph"/>
        <w:numPr>
          <w:ilvl w:val="0"/>
          <w:numId w:val="2"/>
        </w:numPr>
        <w:spacing w:after="28"/>
      </w:pPr>
      <w:r>
        <w:rPr>
          <w:rFonts w:ascii="Arial" w:cs="Arial" w:eastAsia="Arial" w:hAnsi="Arial"/>
          <w:sz w:val="18"/>
          <w:szCs w:val="18"/>
        </w:rPr>
        <w:t xml:space="preserve">Scarcity and drops: Genuine limited editions create urgency and status. Pair with social proof of who is wearing it.</w:t>
      </w:r>
    </w:p>
    <w:p>
      <w:pPr>
        <w:pStyle w:val="ListParagraph"/>
        <w:numPr>
          <w:ilvl w:val="0"/>
          <w:numId w:val="2"/>
        </w:numPr>
        <w:spacing w:after="28"/>
      </w:pPr>
      <w:r>
        <w:rPr>
          <w:rFonts w:ascii="Arial" w:cs="Arial" w:eastAsia="Arial" w:hAnsi="Arial"/>
          <w:sz w:val="18"/>
          <w:szCs w:val="18"/>
        </w:rPr>
        <w:t xml:space="preserve">UGC and halo: Real bodies and micro-influencers often outperform polished-only campaigns for trust and conversion. Celebrity halo must match audience identity.</w:t>
      </w:r>
    </w:p>
    <w:p>
      <w:pPr>
        <w:pStyle w:val="ListParagraph"/>
        <w:numPr>
          <w:ilvl w:val="0"/>
          <w:numId w:val="2"/>
        </w:numPr>
        <w:spacing w:after="28"/>
      </w:pPr>
      <w:r>
        <w:rPr>
          <w:rFonts w:ascii="Arial" w:cs="Arial" w:eastAsia="Arial" w:hAnsi="Arial"/>
          <w:sz w:val="18"/>
          <w:szCs w:val="18"/>
        </w:rPr>
        <w:t xml:space="preserve">Decision-fatigue reduction: Curated edits, rule-of-3 recommendations, clear visual hierarchy.</w:t>
      </w:r>
    </w:p>
    <w:p>
      <w:pPr>
        <w:pStyle w:val="ListParagraph"/>
        <w:numPr>
          <w:ilvl w:val="0"/>
          <w:numId w:val="2"/>
        </w:numPr>
        <w:spacing w:after="28"/>
      </w:pPr>
      <w:r>
        <w:rPr>
          <w:rFonts w:ascii="Arial" w:cs="Arial" w:eastAsia="Arial" w:hAnsi="Arial"/>
          <w:sz w:val="18"/>
          <w:szCs w:val="18"/>
        </w:rPr>
        <w:t xml:space="preserve">Peak-end: Unboxing and first-wear moments are high-leverage memory points.</w:t>
      </w:r>
    </w:p>
    <w:p>
      <w:pPr>
        <w:pStyle w:val="Heading3"/>
      </w:pPr>
      <w:r>
        <w:t xml:space="preserve">Funnel &amp; retention notes</w:t>
      </w:r>
    </w:p>
    <w:p>
      <w:pPr>
        <w:spacing w:after="60"/>
      </w:pPr>
      <w:r>
        <w:rPr>
          <w:rFonts w:ascii="Arial" w:cs="Arial" w:eastAsia="Arial" w:hAnsi="Arial"/>
          <w:sz w:val="18"/>
          <w:szCs w:val="18"/>
        </w:rPr>
        <w:t xml:space="preserve">First frame must signal belonging or aspiration. Retention is driven by community, early access, and repeated identity reinforcement. Sustainable claims frequently need identity priming to close the intention–behavior gap.</w:t>
      </w:r>
    </w:p>
    <w:p>
      <w:pPr>
        <w:pStyle w:val="Heading2"/>
      </w:pPr>
      <w:r>
        <w:t xml:space="preserve">3.3 Health &amp; Fitness</w:t>
      </w:r>
    </w:p>
    <w:p>
      <w:pPr>
        <w:spacing w:after="60"/>
      </w:pPr>
      <w:r>
        <w:rPr>
          <w:rFonts w:ascii="Arial" w:cs="Arial" w:eastAsia="Arial" w:hAnsi="Arial"/>
          <w:sz w:val="18"/>
          <w:szCs w:val="18"/>
        </w:rPr>
        <w:t xml:space="preserve">Primary neural drivers: identity transformation, progress and reward, motivation versus shame, habit formation, data-feedback dopamine, protection motivation (severity + vulnerability).</w:t>
      </w:r>
    </w:p>
    <w:p>
      <w:pPr>
        <w:pStyle w:val="Heading3"/>
      </w:pPr>
      <w:r>
        <w:t xml:space="preserve">Priority tactics with detail</w:t>
      </w:r>
    </w:p>
    <w:p>
      <w:pPr>
        <w:pStyle w:val="ListParagraph"/>
        <w:numPr>
          <w:ilvl w:val="0"/>
          <w:numId w:val="2"/>
        </w:numPr>
        <w:spacing w:after="28"/>
      </w:pPr>
      <w:r>
        <w:rPr>
          <w:rFonts w:ascii="Arial" w:cs="Arial" w:eastAsia="Arial" w:hAnsi="Arial"/>
          <w:sz w:val="18"/>
          <w:szCs w:val="18"/>
        </w:rPr>
        <w:t xml:space="preserve">Messaging arc: Attention may begin with problem or mild loss framing, but must rapidly shift to empowerment and identity ownership. Pure shame campaigns underperform on retention.</w:t>
      </w:r>
    </w:p>
    <w:p>
      <w:pPr>
        <w:pStyle w:val="ListParagraph"/>
        <w:numPr>
          <w:ilvl w:val="0"/>
          <w:numId w:val="2"/>
        </w:numPr>
        <w:spacing w:after="28"/>
      </w:pPr>
      <w:r>
        <w:rPr>
          <w:rFonts w:ascii="Arial" w:cs="Arial" w:eastAsia="Arial" w:hAnsi="Arial"/>
          <w:sz w:val="18"/>
          <w:szCs w:val="18"/>
        </w:rPr>
        <w:t xml:space="preserve">Progress systems: Bars, streaks, milestones, before/after, leaderboards. Variable rewards and celebration of consistency.</w:t>
      </w:r>
    </w:p>
    <w:p>
      <w:pPr>
        <w:pStyle w:val="ListParagraph"/>
        <w:numPr>
          <w:ilvl w:val="0"/>
          <w:numId w:val="2"/>
        </w:numPr>
        <w:spacing w:after="28"/>
      </w:pPr>
      <w:r>
        <w:rPr>
          <w:rFonts w:ascii="Arial" w:cs="Arial" w:eastAsia="Arial" w:hAnsi="Arial"/>
          <w:sz w:val="18"/>
          <w:szCs w:val="18"/>
        </w:rPr>
        <w:t xml:space="preserve">Short challenges: Time-bound, social, accountability-rich offers create quick wins and commitment.</w:t>
      </w:r>
    </w:p>
    <w:p>
      <w:pPr>
        <w:pStyle w:val="ListParagraph"/>
        <w:numPr>
          <w:ilvl w:val="0"/>
          <w:numId w:val="2"/>
        </w:numPr>
        <w:spacing w:after="28"/>
      </w:pPr>
      <w:r>
        <w:rPr>
          <w:rFonts w:ascii="Arial" w:cs="Arial" w:eastAsia="Arial" w:hAnsi="Arial"/>
          <w:sz w:val="18"/>
          <w:szCs w:val="18"/>
        </w:rPr>
        <w:t xml:space="preserve">Community and similarity proof: “People like me” reduces perceived difficulty and social risk.</w:t>
      </w:r>
    </w:p>
    <w:p>
      <w:pPr>
        <w:pStyle w:val="ListParagraph"/>
        <w:numPr>
          <w:ilvl w:val="0"/>
          <w:numId w:val="2"/>
        </w:numPr>
        <w:spacing w:after="28"/>
      </w:pPr>
      <w:r>
        <w:rPr>
          <w:rFonts w:ascii="Arial" w:cs="Arial" w:eastAsia="Arial" w:hAnsi="Arial"/>
          <w:sz w:val="18"/>
          <w:szCs w:val="18"/>
        </w:rPr>
        <w:t xml:space="preserve">Personalization and feedback: Tracking data used for timely, specific nudges (not spam). Immediate feedback loops support habit.</w:t>
      </w:r>
    </w:p>
    <w:p>
      <w:pPr>
        <w:pStyle w:val="ListParagraph"/>
        <w:numPr>
          <w:ilvl w:val="0"/>
          <w:numId w:val="2"/>
        </w:numPr>
        <w:spacing w:after="28"/>
      </w:pPr>
      <w:r>
        <w:rPr>
          <w:rFonts w:ascii="Arial" w:cs="Arial" w:eastAsia="Arial" w:hAnsi="Arial"/>
          <w:sz w:val="18"/>
          <w:szCs w:val="18"/>
        </w:rPr>
        <w:t xml:space="preserve">Authority + transformation stories: Credible expertise combined with emotional identity shift.</w:t>
      </w:r>
    </w:p>
    <w:p>
      <w:pPr>
        <w:pStyle w:val="Heading3"/>
      </w:pPr>
      <w:r>
        <w:t xml:space="preserve">Funnel &amp; retention notes</w:t>
      </w:r>
    </w:p>
    <w:p>
      <w:pPr>
        <w:spacing w:after="60"/>
      </w:pPr>
      <w:r>
        <w:rPr>
          <w:rFonts w:ascii="Arial" w:cs="Arial" w:eastAsia="Arial" w:hAnsi="Arial"/>
          <w:sz w:val="18"/>
          <w:szCs w:val="18"/>
        </w:rPr>
        <w:t xml:space="preserve">Onboarding must deliver an early win. Retention is the core product. Design cue–routine–reward loops explicitly. Color and tone should match positioning (energy vs calm recovery).</w:t>
      </w:r>
    </w:p>
    <w:p>
      <w:pPr>
        <w:pStyle w:val="Heading2"/>
      </w:pPr>
      <w:r>
        <w:t xml:space="preserve">3.4 Beauty / Skincare</w:t>
      </w:r>
    </w:p>
    <w:p>
      <w:pPr>
        <w:spacing w:after="60"/>
      </w:pPr>
      <w:r>
        <w:rPr>
          <w:rFonts w:ascii="Arial" w:cs="Arial" w:eastAsia="Arial" w:hAnsi="Arial"/>
          <w:sz w:val="18"/>
          <w:szCs w:val="18"/>
        </w:rPr>
        <w:t xml:space="preserve">Primary neural drivers: transformation and reward (before/after), self-care emotion, sensory pleasure (texture, scent), purity and trust signals, identity and aspiration; emerging interest in skin–brain axis claims where evidence exists.</w:t>
      </w:r>
    </w:p>
    <w:p>
      <w:pPr>
        <w:pStyle w:val="Heading3"/>
      </w:pPr>
      <w:r>
        <w:t xml:space="preserve">Priority tactics with detail</w:t>
      </w:r>
    </w:p>
    <w:p>
      <w:pPr>
        <w:pStyle w:val="ListParagraph"/>
        <w:numPr>
          <w:ilvl w:val="0"/>
          <w:numId w:val="2"/>
        </w:numPr>
        <w:spacing w:after="28"/>
      </w:pPr>
      <w:r>
        <w:rPr>
          <w:rFonts w:ascii="Arial" w:cs="Arial" w:eastAsia="Arial" w:hAnsi="Arial"/>
          <w:sz w:val="18"/>
          <w:szCs w:val="18"/>
        </w:rPr>
        <w:t xml:space="preserve">Before/after + authentic UGC: Strong reward activation when transformation and real emotion are visible. Guide attention subtly (highlights, short captions).</w:t>
      </w:r>
    </w:p>
    <w:p>
      <w:pPr>
        <w:pStyle w:val="ListParagraph"/>
        <w:numPr>
          <w:ilvl w:val="0"/>
          <w:numId w:val="2"/>
        </w:numPr>
        <w:spacing w:after="28"/>
      </w:pPr>
      <w:r>
        <w:rPr>
          <w:rFonts w:ascii="Arial" w:cs="Arial" w:eastAsia="Arial" w:hAnsi="Arial"/>
          <w:sz w:val="18"/>
          <w:szCs w:val="18"/>
        </w:rPr>
        <w:t xml:space="preserve">Color systems: White/silver for clinical purity; green for natural; black/gold for luxury; soft pink for care and approachability. Test against category expectations.</w:t>
      </w:r>
    </w:p>
    <w:p>
      <w:pPr>
        <w:pStyle w:val="ListParagraph"/>
        <w:numPr>
          <w:ilvl w:val="0"/>
          <w:numId w:val="2"/>
        </w:numPr>
        <w:spacing w:after="28"/>
      </w:pPr>
      <w:r>
        <w:rPr>
          <w:rFonts w:ascii="Arial" w:cs="Arial" w:eastAsia="Arial" w:hAnsi="Arial"/>
          <w:sz w:val="18"/>
          <w:szCs w:val="18"/>
        </w:rPr>
        <w:t xml:space="preserve">Texture and application: High-resolution sensory imagery and language. Packaging is a primary neural touchpoint—treat it as advertising.</w:t>
      </w:r>
    </w:p>
    <w:p>
      <w:pPr>
        <w:pStyle w:val="ListParagraph"/>
        <w:numPr>
          <w:ilvl w:val="0"/>
          <w:numId w:val="2"/>
        </w:numPr>
        <w:spacing w:after="28"/>
      </w:pPr>
      <w:r>
        <w:rPr>
          <w:rFonts w:ascii="Arial" w:cs="Arial" w:eastAsia="Arial" w:hAnsi="Arial"/>
          <w:sz w:val="18"/>
          <w:szCs w:val="18"/>
        </w:rPr>
        <w:t xml:space="preserve">Ritual and identity narrative: “Skin confidence,” self-care routine, and belonging outperform pure ingredient lists for many audiences.</w:t>
      </w:r>
    </w:p>
    <w:p>
      <w:pPr>
        <w:pStyle w:val="ListParagraph"/>
        <w:numPr>
          <w:ilvl w:val="0"/>
          <w:numId w:val="2"/>
        </w:numPr>
        <w:spacing w:after="28"/>
      </w:pPr>
      <w:r>
        <w:rPr>
          <w:rFonts w:ascii="Arial" w:cs="Arial" w:eastAsia="Arial" w:hAnsi="Arial"/>
          <w:sz w:val="18"/>
          <w:szCs w:val="18"/>
        </w:rPr>
        <w:t xml:space="preserve">Social proof and anchoring: Faces + specific results; premium kits or routines as anchors; samples for reciprocity and endowment.</w:t>
      </w:r>
    </w:p>
    <w:p>
      <w:pPr>
        <w:pStyle w:val="ListParagraph"/>
        <w:numPr>
          <w:ilvl w:val="0"/>
          <w:numId w:val="2"/>
        </w:numPr>
        <w:spacing w:after="28"/>
      </w:pPr>
      <w:r>
        <w:rPr>
          <w:rFonts w:ascii="Arial" w:cs="Arial" w:eastAsia="Arial" w:hAnsi="Arial"/>
          <w:sz w:val="18"/>
          <w:szCs w:val="18"/>
        </w:rPr>
        <w:t xml:space="preserve">Pricing: Prestige (round) for premium; charm for accessible tiers.</w:t>
      </w:r>
    </w:p>
    <w:p>
      <w:pPr>
        <w:pStyle w:val="Heading3"/>
      </w:pPr>
      <w:r>
        <w:t xml:space="preserve">Funnel &amp; retention notes</w:t>
      </w:r>
    </w:p>
    <w:p>
      <w:pPr>
        <w:spacing w:after="60"/>
      </w:pPr>
      <w:r>
        <w:rPr>
          <w:rFonts w:ascii="Arial" w:cs="Arial" w:eastAsia="Arial" w:hAnsi="Arial"/>
          <w:sz w:val="18"/>
          <w:szCs w:val="18"/>
        </w:rPr>
        <w:t xml:space="preserve">Hero creative should deliver transformation or sensory pleasure fast. Design unboxing and first-application as peak-end moments. Community of results and routine support drive repeat purchase.</w:t>
      </w:r>
    </w:p>
    <w:p>
      <w:pPr>
        <w:pStyle w:val="Heading2"/>
      </w:pPr>
      <w:r>
        <w:t xml:space="preserve">3.5 Coaching, Creators &amp; Online Education</w:t>
      </w:r>
    </w:p>
    <w:p>
      <w:pPr>
        <w:spacing w:after="60"/>
      </w:pPr>
      <w:r>
        <w:rPr>
          <w:rFonts w:ascii="Arial" w:cs="Arial" w:eastAsia="Arial" w:hAnsi="Arial"/>
          <w:sz w:val="18"/>
          <w:szCs w:val="18"/>
        </w:rPr>
        <w:t xml:space="preserve">Primary neural drivers: transformation promise, authority and trust, progress/reward, belonging, cognitive ease, accountability, identity shift.</w:t>
      </w:r>
    </w:p>
    <w:p>
      <w:pPr>
        <w:pStyle w:val="Heading3"/>
      </w:pPr>
      <w:r>
        <w:t xml:space="preserve">Priority tactics with detail</w:t>
      </w:r>
    </w:p>
    <w:p>
      <w:pPr>
        <w:pStyle w:val="ListParagraph"/>
        <w:numPr>
          <w:ilvl w:val="0"/>
          <w:numId w:val="2"/>
        </w:numPr>
        <w:spacing w:after="28"/>
      </w:pPr>
      <w:r>
        <w:rPr>
          <w:rFonts w:ascii="Arial" w:cs="Arial" w:eastAsia="Arial" w:hAnsi="Arial"/>
          <w:sz w:val="18"/>
          <w:szCs w:val="18"/>
        </w:rPr>
        <w:t xml:space="preserve">Signature framework: Named method or system that signals authority and creates intellectual property recognition.</w:t>
      </w:r>
    </w:p>
    <w:p>
      <w:pPr>
        <w:pStyle w:val="ListParagraph"/>
        <w:numPr>
          <w:ilvl w:val="0"/>
          <w:numId w:val="2"/>
        </w:numPr>
        <w:spacing w:after="28"/>
      </w:pPr>
      <w:r>
        <w:rPr>
          <w:rFonts w:ascii="Arial" w:cs="Arial" w:eastAsia="Arial" w:hAnsi="Arial"/>
          <w:sz w:val="18"/>
          <w:szCs w:val="18"/>
        </w:rPr>
        <w:t xml:space="preserve">Micro-transformation lead magnets: Free assets that produce a real small win, not just information. Builds reciprocity and demonstrates method.</w:t>
      </w:r>
    </w:p>
    <w:p>
      <w:pPr>
        <w:pStyle w:val="ListParagraph"/>
        <w:numPr>
          <w:ilvl w:val="0"/>
          <w:numId w:val="2"/>
        </w:numPr>
        <w:spacing w:after="28"/>
      </w:pPr>
      <w:r>
        <w:rPr>
          <w:rFonts w:ascii="Arial" w:cs="Arial" w:eastAsia="Arial" w:hAnsi="Arial"/>
          <w:sz w:val="18"/>
          <w:szCs w:val="18"/>
        </w:rPr>
        <w:t xml:space="preserve">Paid challenges: Time-bound, social, accountability-structured offers; completion benefits from structure and peer pressure.</w:t>
      </w:r>
    </w:p>
    <w:p>
      <w:pPr>
        <w:pStyle w:val="ListParagraph"/>
        <w:numPr>
          <w:ilvl w:val="0"/>
          <w:numId w:val="2"/>
        </w:numPr>
        <w:spacing w:after="28"/>
      </w:pPr>
      <w:r>
        <w:rPr>
          <w:rFonts w:ascii="Arial" w:cs="Arial" w:eastAsia="Arial" w:hAnsi="Arial"/>
          <w:sz w:val="18"/>
          <w:szCs w:val="18"/>
        </w:rPr>
        <w:t xml:space="preserve">Progress visualization and variable rewards: Bars, badges, live access, public recognition. Critical for completion and retention.</w:t>
      </w:r>
    </w:p>
    <w:p>
      <w:pPr>
        <w:pStyle w:val="ListParagraph"/>
        <w:numPr>
          <w:ilvl w:val="0"/>
          <w:numId w:val="2"/>
        </w:numPr>
        <w:spacing w:after="28"/>
      </w:pPr>
      <w:r>
        <w:rPr>
          <w:rFonts w:ascii="Arial" w:cs="Arial" w:eastAsia="Arial" w:hAnsi="Arial"/>
          <w:sz w:val="18"/>
          <w:szCs w:val="18"/>
        </w:rPr>
        <w:t xml:space="preserve">Low cognitive-load design: Modular lessons, clear next actions, progressive disclosure (Hick’s Law).</w:t>
      </w:r>
    </w:p>
    <w:p>
      <w:pPr>
        <w:pStyle w:val="ListParagraph"/>
        <w:numPr>
          <w:ilvl w:val="0"/>
          <w:numId w:val="2"/>
        </w:numPr>
        <w:spacing w:after="28"/>
      </w:pPr>
      <w:r>
        <w:rPr>
          <w:rFonts w:ascii="Arial" w:cs="Arial" w:eastAsia="Arial" w:hAnsi="Arial"/>
          <w:sz w:val="18"/>
          <w:szCs w:val="18"/>
        </w:rPr>
        <w:t xml:space="preserve">Human presence: Face, voice, and story throughout (mirror neurons + trust).</w:t>
      </w:r>
    </w:p>
    <w:p>
      <w:pPr>
        <w:pStyle w:val="ListParagraph"/>
        <w:numPr>
          <w:ilvl w:val="0"/>
          <w:numId w:val="2"/>
        </w:numPr>
        <w:spacing w:after="28"/>
      </w:pPr>
      <w:r>
        <w:rPr>
          <w:rFonts w:ascii="Arial" w:cs="Arial" w:eastAsia="Arial" w:hAnsi="Arial"/>
          <w:sz w:val="18"/>
          <w:szCs w:val="18"/>
        </w:rPr>
        <w:t xml:space="preserve">Classic funnel architecture: Free micro-win → low-ticket → core offer → community/retention. Scarcity on cohort seats; social proof of transformations.</w:t>
      </w:r>
    </w:p>
    <w:p>
      <w:pPr>
        <w:pStyle w:val="Heading3"/>
      </w:pPr>
      <w:r>
        <w:t xml:space="preserve">Funnel &amp; retention notes</w:t>
      </w:r>
    </w:p>
    <w:p>
      <w:pPr>
        <w:spacing w:after="60"/>
      </w:pPr>
      <w:r>
        <w:rPr>
          <w:rFonts w:ascii="Arial" w:cs="Arial" w:eastAsia="Arial" w:hAnsi="Arial"/>
          <w:sz w:val="18"/>
          <w:szCs w:val="18"/>
        </w:rPr>
        <w:t xml:space="preserve">Static content underperforms interactive and gamified formats. Pricing should reduce pain via plans and transparent value stacks. Community and ongoing accountability are the primary retention engines.</w:t>
      </w:r>
    </w:p>
    <w:p>
      <w:r>
        <w:br w:type="page"/>
      </w:r>
    </w:p>
    <w:p>
      <w:pPr>
        <w:pStyle w:val="Heading1"/>
      </w:pPr>
      <w:r>
        <w:t xml:space="preserve">4. High-Leverage Combinations &amp; Stacks</w:t>
      </w:r>
    </w:p>
    <w:p>
      <w:pPr>
        <w:pStyle w:val="ListParagraph"/>
        <w:numPr>
          <w:ilvl w:val="0"/>
          <w:numId w:val="2"/>
        </w:numPr>
        <w:spacing w:after="28"/>
      </w:pPr>
      <w:r>
        <w:rPr>
          <w:rFonts w:ascii="Arial" w:cs="Arial" w:eastAsia="Arial" w:hAnsi="Arial"/>
          <w:b/>
          <w:bCs/>
          <w:sz w:val="18"/>
          <w:szCs w:val="18"/>
        </w:rPr>
        <w:t xml:space="preserve">Scroll-stop stack (paid social / short-form): </w:t>
      </w:r>
      <w:r>
        <w:rPr>
          <w:rFonts w:ascii="Arial" w:cs="Arial" w:eastAsia="Arial" w:hAnsi="Arial"/>
          <w:sz w:val="18"/>
          <w:szCs w:val="18"/>
        </w:rPr>
        <w:t xml:space="preserve">High-contrast motion or pattern interrupt + face (preferably with gaze or authentic expression) + scarcity or curiosity text overlay within the first 1–3 seconds. Then emotional arc.</w:t>
      </w:r>
    </w:p>
    <w:p>
      <w:pPr>
        <w:pStyle w:val="ListParagraph"/>
        <w:numPr>
          <w:ilvl w:val="0"/>
          <w:numId w:val="2"/>
        </w:numPr>
        <w:spacing w:after="28"/>
      </w:pPr>
      <w:r>
        <w:rPr>
          <w:rFonts w:ascii="Arial" w:cs="Arial" w:eastAsia="Arial" w:hAnsi="Arial"/>
          <w:b/>
          <w:bCs/>
          <w:sz w:val="18"/>
          <w:szCs w:val="18"/>
        </w:rPr>
        <w:t xml:space="preserve">Conversion stack (landing / offer page): </w:t>
      </w:r>
      <w:r>
        <w:rPr>
          <w:rFonts w:ascii="Arial" w:cs="Arial" w:eastAsia="Arial" w:hAnsi="Arial"/>
          <w:sz w:val="18"/>
          <w:szCs w:val="18"/>
        </w:rPr>
        <w:t xml:space="preserve">Emotional or identity story → specific social proof (faces + numbers + outcomes) placed near the decision point → single clear CTA → reduced payment pain (plans, free shipping, value stack).</w:t>
      </w:r>
    </w:p>
    <w:p>
      <w:pPr>
        <w:pStyle w:val="ListParagraph"/>
        <w:numPr>
          <w:ilvl w:val="0"/>
          <w:numId w:val="2"/>
        </w:numPr>
        <w:spacing w:after="28"/>
      </w:pPr>
      <w:r>
        <w:rPr>
          <w:rFonts w:ascii="Arial" w:cs="Arial" w:eastAsia="Arial" w:hAnsi="Arial"/>
          <w:b/>
          <w:bCs/>
          <w:sz w:val="18"/>
          <w:szCs w:val="18"/>
        </w:rPr>
        <w:t xml:space="preserve">Pricing stack: </w:t>
      </w:r>
      <w:r>
        <w:rPr>
          <w:rFonts w:ascii="Arial" w:cs="Arial" w:eastAsia="Arial" w:hAnsi="Arial"/>
          <w:sz w:val="18"/>
          <w:szCs w:val="18"/>
        </w:rPr>
        <w:t xml:space="preserve">High anchor (premium or original) → decoy option → target option made to look superior → positive framing of the choice → optional daily/weekly affordability frame.</w:t>
      </w:r>
    </w:p>
    <w:p>
      <w:pPr>
        <w:pStyle w:val="ListParagraph"/>
        <w:numPr>
          <w:ilvl w:val="0"/>
          <w:numId w:val="2"/>
        </w:numPr>
        <w:spacing w:after="28"/>
      </w:pPr>
      <w:r>
        <w:rPr>
          <w:rFonts w:ascii="Arial" w:cs="Arial" w:eastAsia="Arial" w:hAnsi="Arial"/>
          <w:b/>
          <w:bCs/>
          <w:sz w:val="18"/>
          <w:szCs w:val="18"/>
        </w:rPr>
        <w:t xml:space="preserve">Retention stack: </w:t>
      </w:r>
      <w:r>
        <w:rPr>
          <w:rFonts w:ascii="Arial" w:cs="Arial" w:eastAsia="Arial" w:hAnsi="Arial"/>
          <w:sz w:val="18"/>
          <w:szCs w:val="18"/>
        </w:rPr>
        <w:t xml:space="preserve">Designed peak-end experience (unboxing, first win, final payoff) → visible progress system → variable or social rewards → community belonging and identity reinforcement.</w:t>
      </w:r>
    </w:p>
    <w:p>
      <w:pPr>
        <w:pStyle w:val="ListParagraph"/>
        <w:numPr>
          <w:ilvl w:val="0"/>
          <w:numId w:val="2"/>
        </w:numPr>
        <w:spacing w:after="28"/>
      </w:pPr>
      <w:r>
        <w:rPr>
          <w:rFonts w:ascii="Arial" w:cs="Arial" w:eastAsia="Arial" w:hAnsi="Arial"/>
          <w:b/>
          <w:bCs/>
          <w:sz w:val="18"/>
          <w:szCs w:val="18"/>
        </w:rPr>
        <w:t xml:space="preserve">Trust stack: </w:t>
      </w:r>
      <w:r>
        <w:rPr>
          <w:rFonts w:ascii="Arial" w:cs="Arial" w:eastAsia="Arial" w:hAnsi="Arial"/>
          <w:sz w:val="18"/>
          <w:szCs w:val="18"/>
        </w:rPr>
        <w:t xml:space="preserve">Authority signal + specific, identity-matched social proof + consistent distinctive brand assets + reciprocity (free value first).</w:t>
      </w:r>
    </w:p>
    <w:p>
      <w:pPr>
        <w:spacing w:after="60"/>
      </w:pPr>
      <w:r>
        <w:rPr>
          <w:rFonts w:ascii="Arial" w:cs="Arial" w:eastAsia="Arial" w:hAnsi="Arial"/>
          <w:sz w:val="18"/>
          <w:szCs w:val="18"/>
        </w:rPr>
        <w:t xml:space="preserve">Reddit and practitioner discussions frequently emphasize stacking rather than single tactics: e.g., endowment (trial) + Rule of 3 pricing, or framing + anchoring + real scarcity + face-based proof.</w:t>
      </w:r>
    </w:p>
    <w:p>
      <w:pPr>
        <w:pStyle w:val="Heading1"/>
      </w:pPr>
      <w:r>
        <w:t xml:space="preserve">5. Measurement Proxies When Lab Tools Are Unavailable</w:t>
      </w:r>
    </w:p>
    <w:p>
      <w:pPr>
        <w:pStyle w:val="ListParagraph"/>
        <w:numPr>
          <w:ilvl w:val="0"/>
          <w:numId w:val="2"/>
        </w:numPr>
        <w:spacing w:after="28"/>
      </w:pPr>
      <w:r>
        <w:rPr>
          <w:rFonts w:ascii="Arial" w:cs="Arial" w:eastAsia="Arial" w:hAnsi="Arial"/>
          <w:sz w:val="18"/>
          <w:szCs w:val="18"/>
        </w:rPr>
        <w:t xml:space="preserve">Attention / stopping power: 3-second view rate, thumb-stop rate, scroll depth, first-frame engagement, heatmap equivalents.</w:t>
      </w:r>
    </w:p>
    <w:p>
      <w:pPr>
        <w:pStyle w:val="ListParagraph"/>
        <w:numPr>
          <w:ilvl w:val="0"/>
          <w:numId w:val="2"/>
        </w:numPr>
        <w:spacing w:after="28"/>
      </w:pPr>
      <w:r>
        <w:rPr>
          <w:rFonts w:ascii="Arial" w:cs="Arial" w:eastAsia="Arial" w:hAnsi="Arial"/>
          <w:sz w:val="18"/>
          <w:szCs w:val="18"/>
        </w:rPr>
        <w:t xml:space="preserve">Emotional engagement: Watch time, completion, reaction quality, dwell, comment sentiment depth.</w:t>
      </w:r>
    </w:p>
    <w:p>
      <w:pPr>
        <w:pStyle w:val="ListParagraph"/>
        <w:numPr>
          <w:ilvl w:val="0"/>
          <w:numId w:val="2"/>
        </w:numPr>
        <w:spacing w:after="28"/>
      </w:pPr>
      <w:r>
        <w:rPr>
          <w:rFonts w:ascii="Arial" w:cs="Arial" w:eastAsia="Arial" w:hAnsi="Arial"/>
          <w:sz w:val="18"/>
          <w:szCs w:val="18"/>
        </w:rPr>
        <w:t xml:space="preserve">Memory / locking: Delayed brand or message recall, distinctive asset recognition, aided/unaided awareness lift.</w:t>
      </w:r>
    </w:p>
    <w:p>
      <w:pPr>
        <w:pStyle w:val="ListParagraph"/>
        <w:numPr>
          <w:ilvl w:val="0"/>
          <w:numId w:val="2"/>
        </w:numPr>
        <w:spacing w:after="28"/>
      </w:pPr>
      <w:r>
        <w:rPr>
          <w:rFonts w:ascii="Arial" w:cs="Arial" w:eastAsia="Arial" w:hAnsi="Arial"/>
          <w:sz w:val="18"/>
          <w:szCs w:val="18"/>
        </w:rPr>
        <w:t xml:space="preserve">Approach / motivation: CTR to key pages, add-to-cart, checkout initiation, challenge or trial starts.</w:t>
      </w:r>
    </w:p>
    <w:p>
      <w:pPr>
        <w:pStyle w:val="ListParagraph"/>
        <w:numPr>
          <w:ilvl w:val="0"/>
          <w:numId w:val="2"/>
        </w:numPr>
        <w:spacing w:after="28"/>
      </w:pPr>
      <w:r>
        <w:rPr>
          <w:rFonts w:ascii="Arial" w:cs="Arial" w:eastAsia="Arial" w:hAnsi="Arial"/>
          <w:sz w:val="18"/>
          <w:szCs w:val="18"/>
        </w:rPr>
        <w:t xml:space="preserve">Business outcomes: Stage conversion, CAC and payback, AOV / attach rate, retention or completion rates, qualitative identity language in feedback.</w:t>
      </w:r>
    </w:p>
    <w:p>
      <w:pPr>
        <w:spacing w:after="60"/>
      </w:pPr>
      <w:r>
        <w:rPr>
          <w:rFonts w:ascii="Arial" w:cs="Arial" w:eastAsia="Arial" w:hAnsi="Arial"/>
          <w:sz w:val="18"/>
          <w:szCs w:val="18"/>
        </w:rPr>
        <w:t xml:space="preserve">Test one primary lever at a time when possible (first-frame type, framing, social-proof format, scarcity intensity, color, price anchor).</w:t>
      </w:r>
    </w:p>
    <w:p>
      <w:pPr>
        <w:pStyle w:val="Heading1"/>
      </w:pPr>
      <w:r>
        <w:t xml:space="preserve">6. Ethical Boundaries</w:t>
      </w:r>
    </w:p>
    <w:p>
      <w:pPr>
        <w:spacing w:after="60"/>
      </w:pPr>
      <w:r>
        <w:rPr>
          <w:rFonts w:ascii="Arial" w:cs="Arial" w:eastAsia="Arial" w:hAnsi="Arial"/>
          <w:sz w:val="18"/>
          <w:szCs w:val="18"/>
        </w:rPr>
        <w:t xml:space="preserve">Because many tactics operate partly below full awareness, ethical application is non-negotiable for long-term brand equity:</w:t>
      </w:r>
    </w:p>
    <w:p>
      <w:pPr>
        <w:pStyle w:val="ListParagraph"/>
        <w:numPr>
          <w:ilvl w:val="0"/>
          <w:numId w:val="2"/>
        </w:numPr>
        <w:spacing w:after="28"/>
      </w:pPr>
      <w:r>
        <w:rPr>
          <w:rFonts w:ascii="Arial" w:cs="Arial" w:eastAsia="Arial" w:hAnsi="Arial"/>
          <w:sz w:val="18"/>
          <w:szCs w:val="18"/>
        </w:rPr>
        <w:t xml:space="preserve">Use only genuine scarcity and truthful claims.</w:t>
      </w:r>
    </w:p>
    <w:p>
      <w:pPr>
        <w:pStyle w:val="ListParagraph"/>
        <w:numPr>
          <w:ilvl w:val="0"/>
          <w:numId w:val="2"/>
        </w:numPr>
        <w:spacing w:after="28"/>
      </w:pPr>
      <w:r>
        <w:rPr>
          <w:rFonts w:ascii="Arial" w:cs="Arial" w:eastAsia="Arial" w:hAnsi="Arial"/>
          <w:sz w:val="18"/>
          <w:szCs w:val="18"/>
        </w:rPr>
        <w:t xml:space="preserve">Do not exploit high-anxiety or vulnerable states for short-term extraction.</w:t>
      </w:r>
    </w:p>
    <w:p>
      <w:pPr>
        <w:pStyle w:val="ListParagraph"/>
        <w:numPr>
          <w:ilvl w:val="0"/>
          <w:numId w:val="2"/>
        </w:numPr>
        <w:spacing w:after="28"/>
      </w:pPr>
      <w:r>
        <w:rPr>
          <w:rFonts w:ascii="Arial" w:cs="Arial" w:eastAsia="Arial" w:hAnsi="Arial"/>
          <w:sz w:val="18"/>
          <w:szCs w:val="18"/>
        </w:rPr>
        <w:t xml:space="preserve">Deliver value that matches or exceeds the emotional promise.</w:t>
      </w:r>
    </w:p>
    <w:p>
      <w:pPr>
        <w:pStyle w:val="ListParagraph"/>
        <w:numPr>
          <w:ilvl w:val="0"/>
          <w:numId w:val="2"/>
        </w:numPr>
        <w:spacing w:after="28"/>
      </w:pPr>
      <w:r>
        <w:rPr>
          <w:rFonts w:ascii="Arial" w:cs="Arial" w:eastAsia="Arial" w:hAnsi="Arial"/>
          <w:sz w:val="18"/>
          <w:szCs w:val="18"/>
        </w:rPr>
        <w:t xml:space="preserve">Avoid dark patterns that erode trust; trust is itself a neural asset that is slow to rebuild.</w:t>
      </w:r>
    </w:p>
    <w:p>
      <w:pPr>
        <w:pStyle w:val="ListParagraph"/>
        <w:numPr>
          <w:ilvl w:val="0"/>
          <w:numId w:val="2"/>
        </w:numPr>
        <w:spacing w:after="28"/>
      </w:pPr>
      <w:r>
        <w:rPr>
          <w:rFonts w:ascii="Arial" w:cs="Arial" w:eastAsia="Arial" w:hAnsi="Arial"/>
          <w:sz w:val="18"/>
          <w:szCs w:val="18"/>
        </w:rPr>
        <w:t xml:space="preserve">Comply with platform and regulatory requirements on transparency.</w:t>
      </w:r>
    </w:p>
    <w:p>
      <w:pPr>
        <w:spacing w:after="60"/>
      </w:pPr>
      <w:r>
        <w:rPr>
          <w:rFonts w:ascii="Arial" w:cs="Arial" w:eastAsia="Arial" w:hAnsi="Arial"/>
          <w:sz w:val="18"/>
          <w:szCs w:val="18"/>
        </w:rPr>
        <w:t xml:space="preserve">The strongest commercial outcomes over multi-year horizons come from alignment with how the brain works while still respecting autonomy and delivering real benefit.</w:t>
      </w:r>
    </w:p>
    <w:p>
      <w:pPr>
        <w:pStyle w:val="Heading1"/>
      </w:pPr>
      <w:r>
        <w:t xml:space="preserve">7. Source Base</w:t>
      </w:r>
    </w:p>
    <w:p>
      <w:pPr>
        <w:spacing w:after="60"/>
      </w:pPr>
      <w:r>
        <w:rPr>
          <w:rFonts w:ascii="Arial" w:cs="Arial" w:eastAsia="Arial" w:hAnsi="Arial"/>
          <w:sz w:val="18"/>
          <w:szCs w:val="18"/>
        </w:rPr>
        <w:t xml:space="preserve">This compendium draws on:</w:t>
      </w:r>
    </w:p>
    <w:p>
      <w:pPr>
        <w:pStyle w:val="ListParagraph"/>
        <w:numPr>
          <w:ilvl w:val="0"/>
          <w:numId w:val="2"/>
        </w:numPr>
        <w:spacing w:after="28"/>
      </w:pPr>
      <w:r>
        <w:rPr>
          <w:rFonts w:ascii="Arial" w:cs="Arial" w:eastAsia="Arial" w:hAnsi="Arial"/>
          <w:sz w:val="18"/>
          <w:szCs w:val="18"/>
        </w:rPr>
        <w:t xml:space="preserve">Peer-reviewed consumer neuroscience and systematic reviews involving fMRI, EEG, eye-tracking, and hybrid methods (including work in Brain Informatics, Journal of Marketing Research neuroforecasting studies, Current Psychology, and PRISMA-style meta-analyses of neurophysiological correlates of preference and purchase intention).</w:t>
      </w:r>
    </w:p>
    <w:p>
      <w:pPr>
        <w:pStyle w:val="ListParagraph"/>
        <w:numPr>
          <w:ilvl w:val="0"/>
          <w:numId w:val="2"/>
        </w:numPr>
        <w:spacing w:after="28"/>
      </w:pPr>
      <w:r>
        <w:rPr>
          <w:rFonts w:ascii="Arial" w:cs="Arial" w:eastAsia="Arial" w:hAnsi="Arial"/>
          <w:sz w:val="18"/>
          <w:szCs w:val="18"/>
        </w:rPr>
        <w:t xml:space="preserve">Classic experimental and commercial cases (branded beverage fMRI work, packaging redesigns guided by EEG and facial coding, framing and anchoring demonstrations, scarcity and social-proof field patterns).</w:t>
      </w:r>
    </w:p>
    <w:p>
      <w:pPr>
        <w:pStyle w:val="ListParagraph"/>
        <w:numPr>
          <w:ilvl w:val="0"/>
          <w:numId w:val="2"/>
        </w:numPr>
        <w:spacing w:after="28"/>
      </w:pPr>
      <w:r>
        <w:rPr>
          <w:rFonts w:ascii="Arial" w:cs="Arial" w:eastAsia="Arial" w:hAnsi="Arial"/>
          <w:sz w:val="18"/>
          <w:szCs w:val="18"/>
        </w:rPr>
        <w:t xml:space="preserve">Applied neuromarketing and conversion literature that translates mechanisms into creative, pricing, and experience tactics.</w:t>
      </w:r>
    </w:p>
    <w:p>
      <w:pPr>
        <w:pStyle w:val="ListParagraph"/>
        <w:numPr>
          <w:ilvl w:val="0"/>
          <w:numId w:val="2"/>
        </w:numPr>
        <w:spacing w:after="28"/>
      </w:pPr>
      <w:r>
        <w:rPr>
          <w:rFonts w:ascii="Arial" w:cs="Arial" w:eastAsia="Arial" w:hAnsi="Arial"/>
          <w:sz w:val="18"/>
          <w:szCs w:val="18"/>
        </w:rPr>
        <w:t xml:space="preserve">Practitioner and Reddit discussions that surface real-world stacking of framing, anchoring, social proof, scarcity, endowment, and Rule-of-3 architectures.</w:t>
      </w:r>
    </w:p>
    <w:p>
      <w:pPr>
        <w:pStyle w:val="ListParagraph"/>
        <w:numPr>
          <w:ilvl w:val="0"/>
          <w:numId w:val="2"/>
        </w:numPr>
        <w:spacing w:after="28"/>
      </w:pPr>
      <w:r>
        <w:rPr>
          <w:rFonts w:ascii="Arial" w:cs="Arial" w:eastAsia="Arial" w:hAnsi="Arial"/>
          <w:sz w:val="18"/>
          <w:szCs w:val="18"/>
        </w:rPr>
        <w:t xml:space="preserve">Industry-specific patterns observed across food and beverage, fashion, beauty and skincare, health and fitness, and coaching/education contexts.</w:t>
      </w:r>
    </w:p>
    <w:p>
      <w:pPr>
        <w:spacing w:after="60"/>
      </w:pPr>
      <w:r>
        <w:rPr>
          <w:rFonts w:ascii="Arial" w:cs="Arial" w:eastAsia="Arial" w:hAnsi="Arial"/>
          <w:sz w:val="18"/>
          <w:szCs w:val="18"/>
        </w:rPr>
        <w:t xml:space="preserve">The evidence base continues to evolve, particularly around hybrid measurement and machine-learning prediction of preference. Treat self-report as complementary to behavioral and neural proxies.</w:t>
      </w:r>
    </w:p>
    <w:p>
      <w:pPr>
        <w:pStyle w:val="Heading1"/>
      </w:pPr>
      <w:r>
        <w:t xml:space="preserve">Closing Guidance for Strategy Use</w:t>
      </w:r>
    </w:p>
    <w:p>
      <w:pPr>
        <w:spacing w:after="60"/>
      </w:pPr>
      <w:r>
        <w:rPr>
          <w:rFonts w:ascii="Arial" w:cs="Arial" w:eastAsia="Arial" w:hAnsi="Arial"/>
          <w:sz w:val="18"/>
          <w:szCs w:val="18"/>
        </w:rPr>
        <w:t xml:space="preserve">Sequence every major asset and funnel stage as Instinct (attention interrupt) → Emotion / Reward → Logic (clean justification). Select 5–8 levers maximum per strategy and stack them coherently. Adapt the stack to the industry’s dominant neural drivers listed in Section 3. Measure both neural proxies and business outcomes. Protect trust as a core asset.</w:t>
      </w:r>
    </w:p>
    <w:p>
      <w:pPr>
        <w:spacing w:after="60"/>
      </w:pPr>
      <w:r>
        <w:rPr>
          <w:rFonts w:ascii="Arial" w:cs="Arial" w:eastAsia="Arial" w:hAnsi="Arial"/>
          <w:sz w:val="18"/>
          <w:szCs w:val="18"/>
        </w:rPr>
        <w:t xml:space="preserve">This document is intended as a dense, reusable knowledge base for generating neurologically grounded, industry-specific marketing strategies.</w:t>
      </w:r>
    </w:p>
    <w:p>
      <w:pPr>
        <w:spacing w:before="140"/>
      </w:pPr>
      <w:r>
        <w:rPr>
          <w:b/>
          <w:bCs/>
          <w:color w:val="1F4E79"/>
          <w:sz w:val="18"/>
          <w:szCs w:val="18"/>
        </w:rPr>
        <w:t xml:space="preserve">End of Ultra-Detailed Compendium</w:t>
      </w:r>
    </w:p>
    <w:sectPr>
      <w:headerReference w:type="default" r:id="rId7"/>
      <w:footerReference w:type="default" r:id="rId8"/>
      <w:pgSz w:w="12240" w:h="15840"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3"/>
        <w:szCs w:val="13"/>
      </w:rPr>
      <w:t xml:space="preserve">Strategy Agent Knowledge Base  •  Page </w:t>
    </w:r>
    <w:r>
      <w:rPr>
        <w:rFonts w:ascii="Arial" w:cs="Arial" w:eastAsia="Arial" w:hAnsi="Arial"/>
        <w:color w:val="666666"/>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3"/>
        <w:szCs w:val="13"/>
      </w:rPr>
      <w:t xml:space="preserve">Ultra-Detailed Neuromarketing Tactics Compendium  •  Academic + Practitioner + Industry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F4E79"/>
      <w:sz w:val="26"/>
      <w:szCs w:val="26"/>
    </w:rPr>
  </w:style>
  <w:style w:type="paragraph" w:styleId="Heading2">
    <w:name w:val="Heading 2"/>
    <w:basedOn w:val="Normal"/>
    <w:next w:val="Normal"/>
    <w:qFormat/>
    <w:pPr>
      <w:spacing w:after="70" w:before="180"/>
      <w:outlineLvl w:val="1"/>
    </w:pPr>
    <w:rPr>
      <w:rFonts w:ascii="Arial" w:cs="Arial" w:eastAsia="Arial" w:hAnsi="Arial"/>
      <w:b/>
      <w:bCs/>
      <w:color w:val="2E75B6"/>
      <w:sz w:val="21"/>
      <w:szCs w:val="21"/>
    </w:rPr>
  </w:style>
  <w:style w:type="paragraph" w:styleId="Heading3">
    <w:name w:val="Heading 3"/>
    <w:basedOn w:val="Normal"/>
    <w:next w:val="Normal"/>
    <w:qFormat/>
    <w:pPr>
      <w:spacing w:after="50" w:before="120"/>
      <w:outlineLvl w:val="2"/>
    </w:pPr>
    <w:rPr>
      <w:rFonts w:ascii="Arial" w:cs="Arial" w:eastAsia="Arial" w:hAnsi="Arial"/>
      <w:b/>
      <w:bCs/>
      <w:color w:val="40404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2026-09-26T06:14:21.171Z</dcterms:created>
  <dcterms:modified xsi:type="dcterms:W3CDTF">2026-09-26T06:14:21.171Z</dcterms:modified>
</cp:coreProperties>
</file>

<file path=docProps/custom.xml><?xml version="1.0" encoding="utf-8"?>
<Properties xmlns="http://schemas.openxmlformats.org/officeDocument/2006/custom-properties" xmlns:vt="http://schemas.openxmlformats.org/officeDocument/2006/docPropsVTypes"/>
</file>