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神威高性能计算机系统用户试算报告</w:t>
      </w:r>
    </w:p>
    <w:p>
      <w:pPr>
        <w:pStyle w:val="Normal"/>
        <w:jc w:val="right"/>
        <w:rPr/>
      </w:pPr>
      <w:r>
        <w:rPr>
          <w:rFonts w:eastAsia="黑体"/>
          <w:b/>
          <w:sz w:val="32"/>
          <w:szCs w:val="32"/>
        </w:rPr>
        <w:t>——</w:t>
      </w:r>
      <w:r>
        <w:rPr>
          <w:rFonts w:eastAsia="黑体"/>
          <w:b/>
          <w:sz w:val="32"/>
          <w:szCs w:val="32"/>
        </w:rPr>
        <w:t>惯性约束</w:t>
      </w:r>
      <w:r>
        <w:rPr>
          <w:rFonts w:eastAsia="黑体"/>
          <w:b/>
          <w:sz w:val="32"/>
          <w:szCs w:val="32"/>
        </w:rPr>
        <w:t>-</w:t>
      </w:r>
      <w:r>
        <w:rPr>
          <w:rFonts w:eastAsia="黑体"/>
          <w:b/>
          <w:sz w:val="32"/>
          <w:szCs w:val="32"/>
        </w:rPr>
        <w:t>lammps</w:t>
      </w:r>
      <w:r>
        <w:rPr>
          <w:rFonts w:eastAsia="黑体"/>
          <w:b/>
          <w:sz w:val="32"/>
          <w:szCs w:val="32"/>
        </w:rPr>
        <w:t>课题</w:t>
      </w:r>
    </w:p>
    <w:p>
      <w:pPr>
        <w:pStyle w:val="Normal"/>
        <w:jc w:val="left"/>
        <w:rPr>
          <w:rFonts w:eastAsia="黑体"/>
          <w:b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</w:r>
    </w:p>
    <w:p>
      <w:pPr>
        <w:pStyle w:val="ListParagraph"/>
        <w:numPr>
          <w:ilvl w:val="0"/>
          <w:numId w:val="1"/>
        </w:numPr>
        <w:jc w:val="left"/>
        <w:rPr/>
      </w:pPr>
      <w:r>
        <w:rPr>
          <w:rFonts w:eastAsia="黑体"/>
          <w:b/>
          <w:sz w:val="32"/>
          <w:szCs w:val="32"/>
        </w:rPr>
        <w:t>项目背景及意义</w:t>
      </w:r>
    </w:p>
    <w:p>
      <w:pPr>
        <w:pStyle w:val="ListParagraph"/>
        <w:numPr>
          <w:ilvl w:val="0"/>
          <w:numId w:val="1"/>
        </w:numPr>
        <w:jc w:val="left"/>
        <w:rPr>
          <w:rFonts w:eastAsia="黑体"/>
          <w:b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程序移植与优化</w:t>
      </w:r>
    </w:p>
    <w:p>
      <w:pPr>
        <w:pStyle w:val="Heading2"/>
        <w:rPr/>
      </w:pPr>
      <w:r>
        <w:rPr/>
        <w:t>2.1</w:t>
      </w:r>
      <w:r>
        <w:rPr/>
        <w:t>主核程序移植</w:t>
      </w:r>
    </w:p>
    <w:p>
      <w:pPr>
        <w:pStyle w:val="Normal"/>
        <w:rPr/>
      </w:pPr>
      <w:r>
        <w:rPr/>
        <w:t xml:space="preserve">1. </w:t>
      </w:r>
      <w:r>
        <w:rPr/>
        <w:t>某些浮点运算异常及个别依赖库无法找到</w:t>
      </w:r>
    </w:p>
    <w:p>
      <w:pPr>
        <w:pStyle w:val="Normal"/>
        <w:rPr/>
      </w:pPr>
      <w:r>
        <w:rPr/>
        <w:t>解决办法</w:t>
      </w:r>
      <w:r>
        <w:rPr/>
        <w:t xml:space="preserve">: </w:t>
      </w:r>
      <w:r>
        <w:rPr/>
        <w:t>修改编译参数</w:t>
      </w:r>
      <w:r>
        <w:rPr/>
        <w:t xml:space="preserve">, </w:t>
      </w:r>
      <w:r>
        <w:rPr/>
        <w:t>加入并修改对应浮点运算以数学库的链接编译参数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由于所支持的浮点位数的变化</w:t>
      </w:r>
      <w:r>
        <w:rPr/>
        <w:t xml:space="preserve">(double_v4 =&gt; double_v8), </w:t>
      </w:r>
      <w:r>
        <w:rPr/>
        <w:t>原本其所依赖的个别从核的向量化数学函数无法使用</w:t>
      </w:r>
      <w:r>
        <w:rPr/>
        <w:t>.</w:t>
      </w:r>
    </w:p>
    <w:p>
      <w:pPr>
        <w:pStyle w:val="Normal"/>
        <w:rPr/>
      </w:pPr>
      <w:r>
        <w:rPr/>
        <w:t>解决办法</w:t>
      </w:r>
      <w:r>
        <w:rPr/>
        <w:t xml:space="preserve">: </w:t>
      </w:r>
      <w:r>
        <w:rPr/>
        <w:t>参考原本大概的实现方法</w:t>
      </w:r>
      <w:r>
        <w:rPr/>
        <w:t xml:space="preserve">, </w:t>
      </w:r>
      <w:r>
        <w:rPr/>
        <w:t>单独实现这些功能</w:t>
      </w:r>
      <w:r>
        <w:rPr/>
        <w:t>(</w:t>
      </w:r>
      <w:r>
        <w:rPr/>
        <w:t>simd_exp, simd_pos</w:t>
      </w:r>
      <w:r>
        <w:rPr/>
        <w:t>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由于数据结构在主从核的复杂传递导致的正确性问题</w:t>
      </w:r>
    </w:p>
    <w:p>
      <w:pPr>
        <w:pStyle w:val="Normal"/>
        <w:rPr/>
      </w:pPr>
      <w:r>
        <w:rPr/>
        <w:t>解决办法</w:t>
      </w:r>
      <w:r>
        <w:rPr/>
        <w:t xml:space="preserve">: </w:t>
      </w:r>
      <w:r>
        <w:rPr/>
        <w:t>调整数据结构的传输方式</w:t>
      </w:r>
      <w:r>
        <w:rPr/>
        <w:t xml:space="preserve">, </w:t>
      </w:r>
      <w:r>
        <w:rPr/>
        <w:t>减小耦合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2.2</w:t>
      </w:r>
      <w:r>
        <w:rPr/>
        <w:t>众核并行算法</w:t>
      </w:r>
    </w:p>
    <w:p>
      <w:pPr>
        <w:pStyle w:val="Normal"/>
        <w:rPr/>
      </w:pPr>
      <w:r>
        <w:rPr/>
        <w:t>1</w:t>
      </w:r>
      <w:r>
        <w:rPr/>
        <w:t>、热点分析</w:t>
      </w:r>
    </w:p>
    <w:p>
      <w:pPr>
        <w:pStyle w:val="Normal"/>
        <w:rPr/>
      </w:pPr>
      <w:r>
        <w:rPr/>
      </w:r>
    </w:p>
    <w:tbl>
      <w:tblPr>
        <w:tblStyle w:val="a6"/>
        <w:tblW w:w="8366" w:type="dxa"/>
        <w:jc w:val="left"/>
        <w:tblInd w:w="-7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50"/>
        <w:gridCol w:w="3550"/>
        <w:gridCol w:w="2766"/>
      </w:tblGrid>
      <w:tr>
        <w:trPr/>
        <w:tc>
          <w:tcPr>
            <w:tcW w:w="20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热点函数</w:t>
            </w:r>
          </w:p>
        </w:tc>
        <w:tc>
          <w:tcPr>
            <w:tcW w:w="35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运行时间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占比</w:t>
            </w:r>
          </w:p>
        </w:tc>
      </w:tr>
      <w:tr>
        <w:trPr/>
        <w:tc>
          <w:tcPr>
            <w:tcW w:w="205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Pai</w:t>
            </w:r>
            <w:r>
              <w:rPr/>
              <w:t>rEffcut::compute()</w:t>
            </w:r>
          </w:p>
        </w:tc>
        <w:tc>
          <w:tcPr>
            <w:tcW w:w="35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1137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75.8</w:t>
            </w:r>
          </w:p>
        </w:tc>
      </w:tr>
      <w:tr>
        <w:trPr/>
        <w:tc>
          <w:tcPr>
            <w:tcW w:w="20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PauliElecElec()</w:t>
            </w:r>
          </w:p>
        </w:tc>
        <w:tc>
          <w:tcPr>
            <w:tcW w:w="35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315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21.0</w:t>
            </w:r>
          </w:p>
        </w:tc>
      </w:tr>
      <w:tr>
        <w:trPr/>
        <w:tc>
          <w:tcPr>
            <w:tcW w:w="20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NPairHalf()</w:t>
            </w:r>
          </w:p>
        </w:tc>
        <w:tc>
          <w:tcPr>
            <w:tcW w:w="35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18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</w:tr>
      <w:tr>
        <w:trPr/>
        <w:tc>
          <w:tcPr>
            <w:tcW w:w="20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ev_tally_xyz()</w:t>
            </w:r>
          </w:p>
        </w:tc>
        <w:tc>
          <w:tcPr>
            <w:tcW w:w="35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10.5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0.7</w:t>
            </w:r>
          </w:p>
        </w:tc>
      </w:tr>
      <w:tr>
        <w:trPr/>
        <w:tc>
          <w:tcPr>
            <w:tcW w:w="2050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pack_reverse()</w:t>
            </w:r>
          </w:p>
        </w:tc>
        <w:tc>
          <w:tcPr>
            <w:tcW w:w="35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4.5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0.3</w:t>
            </w:r>
          </w:p>
        </w:tc>
      </w:tr>
      <w:tr>
        <w:trPr/>
        <w:tc>
          <w:tcPr>
            <w:tcW w:w="20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核心计算过程</w:t>
            </w:r>
          </w:p>
        </w:tc>
        <w:tc>
          <w:tcPr>
            <w:tcW w:w="35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1503s</w:t>
            </w:r>
          </w:p>
        </w:tc>
        <w:tc>
          <w:tcPr>
            <w:tcW w:w="276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、众核并行算法</w:t>
      </w:r>
    </w:p>
    <w:p>
      <w:pPr>
        <w:pStyle w:val="Normal"/>
        <w:rPr/>
      </w:pPr>
      <w:r>
        <w:rPr/>
        <w:t xml:space="preserve">1) </w:t>
      </w:r>
      <w:r>
        <w:rPr/>
        <w:t>众核并行基本策略</w:t>
      </w:r>
    </w:p>
    <w:p>
      <w:pPr>
        <w:pStyle w:val="Normal"/>
        <w:rPr/>
      </w:pPr>
      <w:r>
        <w:rPr/>
        <w:t>根据将所有计算粒子分配到多个从核上的策略</w:t>
      </w:r>
      <w:r>
        <w:rPr/>
        <w:t xml:space="preserve">, </w:t>
      </w:r>
      <w:r>
        <w:rPr/>
        <w:t>将不同次迭代的粒子分配到不同的</w:t>
      </w:r>
      <w:r>
        <w:rPr/>
        <w:t>page(ipage, jpage)</w:t>
      </w:r>
      <w:r>
        <w:rPr/>
        <w:t>中</w:t>
      </w:r>
      <w:r>
        <w:rPr/>
        <w:t xml:space="preserve">, </w:t>
      </w:r>
      <w:r>
        <w:rPr/>
        <w:t>而</w:t>
      </w:r>
      <w:r>
        <w:rPr/>
        <w:t>page</w:t>
      </w:r>
      <w:r>
        <w:rPr/>
        <w:t>即每个从核进行计算的粒子数</w:t>
      </w:r>
      <w:r>
        <w:rPr/>
        <w:t>, page</w:t>
      </w:r>
      <w:r>
        <w:rPr/>
        <w:t>大小一般为从核数量或者是其整数倍</w:t>
      </w:r>
    </w:p>
    <w:p>
      <w:pPr>
        <w:pStyle w:val="Normal"/>
        <w:rPr/>
      </w:pPr>
      <w:r>
        <w:rPr/>
        <w:t xml:space="preserve">2) </w:t>
      </w:r>
      <w:r>
        <w:rPr/>
        <w:t>混合内存更新</w:t>
      </w:r>
    </w:p>
    <w:p>
      <w:pPr>
        <w:pStyle w:val="Normal"/>
        <w:rPr/>
      </w:pPr>
      <w:r>
        <w:rPr/>
        <w:t>在计算过程中</w:t>
      </w:r>
      <w:r>
        <w:rPr/>
        <w:t xml:space="preserve">, </w:t>
      </w:r>
      <w:r>
        <w:rPr/>
        <w:t>当进行两层粒子迭代的时候</w:t>
      </w:r>
      <w:r>
        <w:rPr/>
        <w:t xml:space="preserve">, </w:t>
      </w:r>
      <w:r>
        <w:rPr/>
        <w:t>尽管内层粒子</w:t>
      </w:r>
      <w:r>
        <w:rPr/>
        <w:t>(j)</w:t>
      </w:r>
      <w:r>
        <w:rPr/>
        <w:t>的迭代是随机的</w:t>
      </w:r>
      <w:r>
        <w:rPr/>
        <w:t xml:space="preserve">, </w:t>
      </w:r>
      <w:r>
        <w:rPr/>
        <w:t>但外层粒子</w:t>
      </w:r>
      <w:r>
        <w:rPr/>
        <w:t xml:space="preserve">(i) </w:t>
      </w:r>
      <w:r>
        <w:rPr/>
        <w:t>却是串行的</w:t>
      </w:r>
      <w:r>
        <w:rPr/>
        <w:t xml:space="preserve">, </w:t>
      </w:r>
      <w:r>
        <w:rPr/>
        <w:t>这种方式会在并行实现维护数据的连续性时会带来很大的开销</w:t>
      </w:r>
      <w:r>
        <w:rPr/>
        <w:t>.</w:t>
      </w:r>
    </w:p>
    <w:p>
      <w:pPr>
        <w:pStyle w:val="Normal"/>
        <w:rPr/>
      </w:pPr>
      <w:r>
        <w:rPr/>
        <w:t>这里我们使用</w:t>
      </w:r>
      <w:r>
        <w:rPr/>
        <w:t>RCA</w:t>
      </w:r>
      <w:r>
        <w:rPr/>
        <w:t>的方法</w:t>
      </w:r>
      <w:r>
        <w:rPr/>
        <w:t xml:space="preserve">, </w:t>
      </w:r>
      <w:r>
        <w:rPr/>
        <w:t>在进行访存的同时进行计算</w:t>
      </w:r>
      <w:r>
        <w:rPr/>
        <w:t xml:space="preserve">, </w:t>
      </w:r>
      <w:r>
        <w:rPr/>
        <w:t>并减小上述产生的开销</w:t>
      </w:r>
      <w:r>
        <w:rPr/>
        <w:t>.</w:t>
      </w:r>
    </w:p>
    <w:p>
      <w:pPr>
        <w:pStyle w:val="Heading2"/>
        <w:rPr/>
      </w:pPr>
      <w:r>
        <w:rPr/>
        <w:t>2.3</w:t>
      </w:r>
      <w:r>
        <w:rPr/>
        <w:t>程序优化方法</w:t>
      </w:r>
    </w:p>
    <w:p>
      <w:pPr>
        <w:pStyle w:val="Normal"/>
        <w:rPr/>
      </w:pPr>
      <w:r>
        <w:rPr/>
        <w:t xml:space="preserve">1) </w:t>
      </w:r>
      <w:r>
        <w:rPr/>
        <w:t>通过实现软件缓存策略来提升访存性能</w:t>
      </w:r>
    </w:p>
    <w:p>
      <w:pPr>
        <w:pStyle w:val="Normal"/>
        <w:rPr/>
      </w:pPr>
      <w:r>
        <w:rPr/>
        <w:t>一般来说</w:t>
      </w:r>
      <w:r>
        <w:rPr/>
        <w:t xml:space="preserve">, </w:t>
      </w:r>
      <w:r>
        <w:rPr/>
        <w:t>对于邻接列表上的两层粒子迭代的内存访问都是随机的</w:t>
      </w:r>
      <w:r>
        <w:rPr/>
        <w:t xml:space="preserve">, </w:t>
      </w:r>
      <w:r>
        <w:rPr/>
        <w:t>因此我们无法预测固定的访存顺序</w:t>
      </w:r>
      <w:r>
        <w:rPr/>
        <w:t xml:space="preserve">, </w:t>
      </w:r>
      <w:r>
        <w:rPr/>
        <w:t>但我们可以通过增大访存块</w:t>
      </w:r>
      <w:r>
        <w:rPr/>
        <w:t>(block)</w:t>
      </w:r>
      <w:r>
        <w:rPr/>
        <w:t>的大小来尽可能重用数据</w:t>
      </w:r>
      <w:r>
        <w:rPr/>
        <w:t xml:space="preserve">, </w:t>
      </w:r>
      <w:r>
        <w:rPr/>
        <w:t>以此来提高性能</w:t>
      </w:r>
      <w:r>
        <w:rPr/>
        <w:t xml:space="preserve">, </w:t>
      </w:r>
      <w:r>
        <w:rPr/>
        <w:t>而这里由于</w:t>
      </w:r>
      <w:r>
        <w:rPr/>
        <w:t>LDM</w:t>
      </w:r>
      <w:r>
        <w:rPr/>
        <w:t>大小的限制</w:t>
      </w:r>
      <w:r>
        <w:rPr/>
        <w:t xml:space="preserve">, </w:t>
      </w:r>
      <w:r>
        <w:rPr/>
        <w:t>会选择一个在</w:t>
      </w:r>
      <w:r>
        <w:rPr/>
        <w:t>LDM</w:t>
      </w:r>
      <w:r>
        <w:rPr/>
        <w:t>范围的一个合适的大小构建软件缓存块</w:t>
      </w:r>
      <w:r>
        <w:rPr/>
        <w:t>.</w:t>
      </w:r>
    </w:p>
    <w:p>
      <w:pPr>
        <w:pStyle w:val="Normal"/>
        <w:rPr/>
      </w:pPr>
      <w:r>
        <w:rPr/>
        <w:t>并且</w:t>
      </w:r>
      <w:r>
        <w:rPr/>
        <w:t xml:space="preserve">, </w:t>
      </w:r>
      <w:r>
        <w:rPr/>
        <w:t>由于对齐与单次访存大小的原因</w:t>
      </w:r>
      <w:r>
        <w:rPr/>
        <w:t xml:space="preserve">, </w:t>
      </w:r>
      <w:r>
        <w:rPr/>
        <w:t>我们会使用</w:t>
      </w:r>
      <w:r>
        <w:rPr/>
        <w:t>DMA</w:t>
      </w:r>
      <w:r>
        <w:rPr/>
        <w:t>操作来将数据取到</w:t>
      </w:r>
      <w:r>
        <w:rPr/>
        <w:t>LDM</w:t>
      </w:r>
      <w:r>
        <w:rPr/>
        <w:t>中来提升访存性能</w:t>
      </w:r>
    </w:p>
    <w:p>
      <w:pPr>
        <w:pStyle w:val="Normal"/>
        <w:rPr/>
      </w:pPr>
      <w:r>
        <w:rPr/>
        <w:t xml:space="preserve">2) </w:t>
      </w:r>
      <w:r>
        <w:rPr/>
        <w:t>解决在向量化时不规则访存带来的问题</w:t>
      </w:r>
    </w:p>
    <w:p>
      <w:pPr>
        <w:pStyle w:val="Normal"/>
        <w:rPr/>
      </w:pPr>
      <w:r>
        <w:rPr/>
        <w:t>使用内存索引</w:t>
      </w:r>
      <w:r>
        <w:rPr/>
        <w:t>(j)</w:t>
      </w:r>
      <w:r>
        <w:rPr/>
        <w:t>来进行数据访问</w:t>
      </w:r>
      <w:r>
        <w:rPr/>
        <w:t xml:space="preserve">, </w:t>
      </w:r>
      <w:r>
        <w:rPr/>
        <w:t>并使用向量化方法将粒子信息放入缓存块中</w:t>
      </w:r>
      <w:r>
        <w:rPr/>
        <w:t xml:space="preserve">, </w:t>
      </w:r>
      <w:r>
        <w:rPr/>
        <w:t>并使用</w:t>
      </w:r>
      <w:r>
        <w:rPr/>
        <w:t>transpose</w:t>
      </w:r>
      <w:r>
        <w:rPr/>
        <w:t>来进行向量化处理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rFonts w:eastAsia="黑体"/>
          <w:b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测试结果</w:t>
      </w:r>
    </w:p>
    <w:p>
      <w:pPr>
        <w:pStyle w:val="Heading2"/>
        <w:rPr/>
      </w:pPr>
      <w:r>
        <w:rPr/>
        <w:t>3.1</w:t>
      </w:r>
      <w:r>
        <w:rPr/>
        <w:t>众核加速比测试</w:t>
      </w:r>
    </w:p>
    <w:p>
      <w:pPr>
        <w:pStyle w:val="Normal"/>
        <w:rPr/>
      </w:pPr>
      <w:r>
        <w:rPr/>
        <w:t>1</w:t>
      </w:r>
      <w:r>
        <w:rPr/>
        <w:t>、计算模型：</w:t>
      </w:r>
    </w:p>
    <w:p>
      <w:pPr>
        <w:pStyle w:val="Normal"/>
        <w:spacing w:lineRule="auto" w:line="276"/>
        <w:rPr/>
      </w:pPr>
      <w:r>
        <w:rPr/>
        <w:t>使用</w:t>
      </w:r>
      <w:r>
        <w:rPr/>
        <w:t>256</w:t>
      </w:r>
      <w:r>
        <w:rPr/>
        <w:t>核组进行测试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、测试结果</w:t>
      </w:r>
    </w:p>
    <w:tbl>
      <w:tblPr>
        <w:tblStyle w:val="a6"/>
        <w:tblW w:w="8316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50"/>
        <w:gridCol w:w="2390"/>
        <w:gridCol w:w="2150"/>
        <w:gridCol w:w="1626"/>
      </w:tblGrid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热点函数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单纯主核程序运行时间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众核程序运行时间</w:t>
            </w:r>
          </w:p>
        </w:tc>
        <w:tc>
          <w:tcPr>
            <w:tcW w:w="1626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加速比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Pai</w:t>
            </w:r>
            <w:r>
              <w:rPr/>
              <w:t>rEffcut::compute()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bookmarkStart w:id="0" w:name="__DdeLink__332_1772585283"/>
            <w:r>
              <w:rPr/>
              <w:t>1137</w:t>
            </w:r>
            <w:bookmarkEnd w:id="0"/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405</w:t>
            </w:r>
          </w:p>
        </w:tc>
        <w:tc>
          <w:tcPr>
            <w:tcW w:w="1626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2.8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PauliElecElec()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Style w:val="Emphasis"/>
                <w:rFonts w:eastAsia="华文楷体" w:ascii="华文楷体" w:hAnsi="华文楷体"/>
                <w:b/>
                <w:color w:val="000000"/>
                <w:szCs w:val="21"/>
              </w:rPr>
              <w:t>315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315</w:t>
            </w:r>
          </w:p>
        </w:tc>
        <w:tc>
          <w:tcPr>
            <w:tcW w:w="1626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1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NPairHalf()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18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18</w:t>
            </w:r>
          </w:p>
        </w:tc>
        <w:tc>
          <w:tcPr>
            <w:tcW w:w="1626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1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ev_tally_xyz()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10.5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10.5</w:t>
            </w:r>
          </w:p>
        </w:tc>
        <w:tc>
          <w:tcPr>
            <w:tcW w:w="1626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1</w:t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</w:r>
          </w:p>
        </w:tc>
        <w:tc>
          <w:tcPr>
            <w:tcW w:w="1626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</w:r>
          </w:p>
        </w:tc>
      </w:tr>
      <w:tr>
        <w:trPr/>
        <w:tc>
          <w:tcPr>
            <w:tcW w:w="21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核心计算过程</w:t>
            </w:r>
          </w:p>
        </w:tc>
        <w:tc>
          <w:tcPr>
            <w:tcW w:w="239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1503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771</w:t>
            </w:r>
          </w:p>
        </w:tc>
        <w:tc>
          <w:tcPr>
            <w:tcW w:w="1626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  <w:t>1.9</w:t>
            </w:r>
          </w:p>
        </w:tc>
      </w:tr>
    </w:tbl>
    <w:p>
      <w:pPr>
        <w:pStyle w:val="Normal"/>
        <w:spacing w:lineRule="auto" w:line="276"/>
        <w:jc w:val="left"/>
        <w:rPr>
          <w:rFonts w:ascii="华文楷体" w:hAnsi="华文楷体" w:eastAsia="华文楷体"/>
          <w:color w:val="000000"/>
          <w:szCs w:val="21"/>
        </w:rPr>
      </w:pPr>
      <w:r>
        <w:rPr>
          <w:rFonts w:eastAsia="华文楷体" w:ascii="华文楷体" w:hAnsi="华文楷体"/>
          <w:color w:val="000000"/>
          <w:szCs w:val="21"/>
        </w:rPr>
      </w:r>
    </w:p>
    <w:p>
      <w:pPr>
        <w:pStyle w:val="Normal"/>
        <w:spacing w:lineRule="auto" w:line="276"/>
        <w:jc w:val="left"/>
        <w:rPr>
          <w:rFonts w:ascii="华文楷体" w:hAnsi="华文楷体" w:eastAsia="华文楷体"/>
          <w:color w:val="000000"/>
          <w:szCs w:val="21"/>
        </w:rPr>
      </w:pPr>
      <w:r>
        <w:rPr>
          <w:rFonts w:eastAsia="华文楷体" w:ascii="华文楷体" w:hAnsi="华文楷体"/>
          <w:color w:val="000000"/>
          <w:szCs w:val="21"/>
        </w:rPr>
      </w:r>
    </w:p>
    <w:p>
      <w:pPr>
        <w:pStyle w:val="Normal"/>
        <w:rPr/>
      </w:pPr>
      <w:r>
        <w:rPr/>
        <w:t>3</w:t>
      </w:r>
      <w:r>
        <w:rPr/>
        <w:t xml:space="preserve">、对比测试 </w:t>
      </w:r>
    </w:p>
    <w:p>
      <w:pPr>
        <w:pStyle w:val="Normal"/>
        <w:spacing w:lineRule="auto" w:line="276"/>
        <w:jc w:val="left"/>
        <w:rPr>
          <w:rFonts w:ascii="华文楷体" w:hAnsi="华文楷体" w:eastAsia="华文楷体"/>
          <w:color w:val="000000"/>
          <w:szCs w:val="21"/>
        </w:rPr>
      </w:pPr>
      <w:r>
        <w:rPr>
          <w:rFonts w:eastAsia="华文楷体" w:ascii="华文楷体" w:hAnsi="华文楷体"/>
          <w:color w:val="000000"/>
          <w:szCs w:val="21"/>
        </w:rPr>
      </w:r>
    </w:p>
    <w:tbl>
      <w:tblPr>
        <w:tblStyle w:val="a6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5"/>
        <w:gridCol w:w="2610"/>
        <w:gridCol w:w="1968"/>
        <w:gridCol w:w="2162"/>
      </w:tblGrid>
      <w:tr>
        <w:trPr/>
        <w:tc>
          <w:tcPr>
            <w:tcW w:w="15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新神威机器 </w:t>
            </w:r>
          </w:p>
        </w:tc>
        <w:tc>
          <w:tcPr>
            <w:tcW w:w="196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太湖之光 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Intel</w:t>
            </w:r>
            <w:r>
              <w:rPr/>
              <w:t>、</w:t>
            </w:r>
            <w:r>
              <w:rPr/>
              <w:t>GPU</w:t>
            </w:r>
          </w:p>
        </w:tc>
      </w:tr>
      <w:tr>
        <w:trPr/>
        <w:tc>
          <w:tcPr>
            <w:tcW w:w="15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771</w:t>
            </w:r>
          </w:p>
        </w:tc>
        <w:tc>
          <w:tcPr>
            <w:tcW w:w="196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1652</w:t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</w:r>
          </w:p>
        </w:tc>
        <w:tc>
          <w:tcPr>
            <w:tcW w:w="1968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</w:r>
          </w:p>
        </w:tc>
        <w:tc>
          <w:tcPr>
            <w:tcW w:w="2162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华文楷体" w:hAnsi="华文楷体" w:eastAsia="华文楷体"/>
                <w:b/>
                <w:b/>
                <w:color w:val="000000"/>
                <w:szCs w:val="21"/>
              </w:rPr>
            </w:pPr>
            <w:r>
              <w:rPr>
                <w:rFonts w:eastAsia="华文楷体" w:ascii="华文楷体" w:hAnsi="华文楷体"/>
                <w:b/>
                <w:color w:val="000000"/>
                <w:szCs w:val="21"/>
              </w:rPr>
            </w:r>
          </w:p>
        </w:tc>
      </w:tr>
    </w:tbl>
    <w:p>
      <w:pPr>
        <w:pStyle w:val="Normal"/>
        <w:spacing w:lineRule="auto" w:line="276"/>
        <w:jc w:val="left"/>
        <w:rPr>
          <w:rFonts w:ascii="华文楷体" w:hAnsi="华文楷体" w:eastAsia="华文楷体"/>
          <w:color w:val="000000"/>
          <w:szCs w:val="21"/>
        </w:rPr>
      </w:pPr>
      <w:r>
        <w:rPr>
          <w:rFonts w:eastAsia="华文楷体" w:ascii="华文楷体" w:hAnsi="华文楷体"/>
          <w:color w:val="000000"/>
          <w:szCs w:val="21"/>
        </w:rPr>
      </w:r>
    </w:p>
    <w:p>
      <w:pPr>
        <w:pStyle w:val="Normal"/>
        <w:spacing w:lineRule="auto" w:line="276"/>
        <w:jc w:val="left"/>
        <w:rPr>
          <w:rFonts w:ascii="华文楷体" w:hAnsi="华文楷体" w:eastAsia="华文楷体"/>
          <w:color w:val="000000"/>
          <w:szCs w:val="21"/>
        </w:rPr>
      </w:pPr>
      <w:r>
        <w:rPr>
          <w:rFonts w:eastAsia="华文楷体" w:ascii="华文楷体" w:hAnsi="华文楷体"/>
          <w:color w:val="000000"/>
          <w:szCs w:val="21"/>
        </w:rPr>
      </w:r>
    </w:p>
    <w:p>
      <w:pPr>
        <w:pStyle w:val="Normal"/>
        <w:spacing w:lineRule="auto" w:line="276"/>
        <w:jc w:val="left"/>
        <w:rPr>
          <w:rFonts w:ascii="华文楷体" w:hAnsi="华文楷体" w:eastAsia="华文楷体"/>
          <w:color w:val="000000"/>
          <w:szCs w:val="21"/>
        </w:rPr>
      </w:pPr>
      <w:r>
        <w:rPr>
          <w:rFonts w:eastAsia="华文楷体" w:ascii="华文楷体" w:hAnsi="华文楷体"/>
          <w:color w:val="000000"/>
          <w:szCs w:val="21"/>
        </w:rPr>
      </w:r>
    </w:p>
    <w:p>
      <w:pPr>
        <w:pStyle w:val="Heading2"/>
        <w:rPr/>
      </w:pPr>
      <w:r>
        <w:rPr>
          <w:rFonts w:eastAsia="华文楷体" w:ascii="华文楷体" w:hAnsi="华文楷体"/>
          <w:color w:val="000000"/>
          <w:szCs w:val="21"/>
        </w:rPr>
        <w:t>3.2</w:t>
      </w:r>
      <w:r>
        <w:rPr/>
        <w:t>并行可扩展性测试</w:t>
      </w:r>
    </w:p>
    <w:p>
      <w:pPr>
        <w:pStyle w:val="Normal"/>
        <w:rPr/>
      </w:pPr>
      <w:r>
        <w:rPr/>
        <w:t>1</w:t>
      </w:r>
      <w:r>
        <w:rPr/>
        <w:t>、计算模型：</w:t>
      </w:r>
    </w:p>
    <w:p>
      <w:pPr>
        <w:pStyle w:val="Normal"/>
        <w:rPr/>
      </w:pPr>
      <w:r>
        <w:rPr/>
        <w:t>依次只对</w:t>
      </w:r>
      <w:r>
        <w:rPr/>
        <w:t>64</w:t>
      </w:r>
      <w:r>
        <w:rPr/>
        <w:t>，</w:t>
      </w:r>
      <w:r>
        <w:rPr/>
        <w:t>128, 256</w:t>
      </w:r>
      <w:r>
        <w:rPr/>
        <w:t>个少量核组进行测试</w:t>
      </w:r>
    </w:p>
    <w:p>
      <w:pPr>
        <w:pStyle w:val="Normal"/>
        <w:rPr/>
      </w:pPr>
      <w:r>
        <w:rPr/>
        <w:t>2</w:t>
      </w:r>
      <w:r>
        <w:rPr/>
        <w:t>、测试结果</w:t>
      </w:r>
    </w:p>
    <w:p>
      <w:pPr>
        <w:pStyle w:val="Normal"/>
        <w:jc w:val="center"/>
        <w:rPr/>
      </w:pPr>
      <w:r>
        <w:rPr/>
        <w:t>举例</w:t>
      </w:r>
    </w:p>
    <w:tbl>
      <w:tblPr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840"/>
        <w:gridCol w:w="2839"/>
        <w:gridCol w:w="2843"/>
      </w:tblGrid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核组数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每时间步平均耗时（</w:t>
            </w:r>
            <w:r>
              <w:rPr/>
              <w:t>s</w:t>
            </w:r>
            <w:r>
              <w:rPr/>
              <w:t>）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并行效率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64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15.62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100%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128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13.58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87.2%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256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12.96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eastAsia="宋体" w:cs="Times New Roman"/>
                <w:szCs w:val="20"/>
              </w:rPr>
              <w:t>83.4%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3.3</w:t>
      </w:r>
      <w:r>
        <w:rPr/>
        <w:t>试算结果</w:t>
      </w:r>
    </w:p>
    <w:p>
      <w:pPr>
        <w:pStyle w:val="Normal"/>
        <w:rPr/>
      </w:pPr>
      <w:bookmarkStart w:id="1" w:name="_GoBack"/>
      <w:bookmarkEnd w:id="1"/>
      <w:r>
        <w:rPr/>
        <w:t>主核结果对比正确</w:t>
      </w:r>
      <w:r>
        <w:rPr/>
        <w:t xml:space="preserve">, </w:t>
      </w:r>
      <w:r>
        <w:rPr/>
        <w:t>从核结果正确性依然有偏差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eastAsia="黑体"/>
          <w:b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试算体会</w:t>
      </w:r>
    </w:p>
    <w:p>
      <w:pPr>
        <w:pStyle w:val="Normal"/>
        <w:ind w:firstLine="480"/>
        <w:rPr>
          <w:szCs w:val="21"/>
        </w:rPr>
      </w:pPr>
      <w:r>
        <w:rPr>
          <w:szCs w:val="21"/>
        </w:rPr>
        <w:t>与太湖之光等机器相比的优缺点、对下一代神威高性能计算机系统的期待等。</w:t>
      </w:r>
    </w:p>
    <w:p>
      <w:pPr>
        <w:pStyle w:val="Normal"/>
        <w:snapToGrid w:val="false"/>
        <w:spacing w:lineRule="atLeast" w:line="340" w:before="20" w:after="0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宋体" w:hAnsi="宋体" w:eastAsia="宋体" w:asciiTheme="minorEastAsia" w:eastAsiaTheme="minorEastAsia" w:hAnsiTheme="minorEastAsia"/>
          <w:szCs w:val="21"/>
        </w:rPr>
      </w:pPr>
      <w:r>
        <w:rPr>
          <w:rFonts w:eastAsia="宋体" w:ascii="宋体" w:hAnsi="宋体" w:asciiTheme="minorEastAsia" w:eastAsiaTheme="minorEastAsia" w:hAnsiTheme="minorEastAsia"/>
          <w:szCs w:val="21"/>
        </w:rPr>
        <w:tab/>
        <w:tab/>
        <w:tab/>
        <w:tab/>
        <w:tab/>
        <w:tab/>
        <w:tab/>
        <w:tab/>
        <w:tab/>
        <w:t xml:space="preserve">                        </w:t>
      </w:r>
      <w:r>
        <w:rPr>
          <w:rFonts w:ascii="宋体" w:hAnsi="宋体" w:asciiTheme="minorEastAsia" w:hAnsiTheme="minorEastAsia"/>
          <w:szCs w:val="21"/>
        </w:rPr>
        <w:t>单位名称</w:t>
      </w:r>
    </w:p>
    <w:p>
      <w:pPr>
        <w:pStyle w:val="Normal"/>
        <w:rPr/>
      </w:pPr>
      <w:r>
        <w:rPr>
          <w:rFonts w:eastAsia="宋体" w:ascii="宋体" w:hAnsi="宋体" w:asciiTheme="minorEastAsia" w:eastAsiaTheme="minorEastAsia" w:hAnsiTheme="minorEastAsia"/>
          <w:szCs w:val="21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2019</w:t>
      </w:r>
      <w:r>
        <w:rPr>
          <w:rFonts w:ascii="宋体" w:hAnsi="宋体" w:asciiTheme="minorEastAsia" w:hAnsiTheme="minorEastAsia"/>
          <w:szCs w:val="21"/>
        </w:rPr>
        <w:t>年</w:t>
      </w:r>
      <w:r>
        <w:rPr>
          <w:rFonts w:eastAsia="宋体" w:ascii="宋体" w:hAnsi="宋体" w:asciiTheme="minorEastAsia" w:eastAsiaTheme="minorEastAsia" w:hAnsiTheme="minorEastAsia"/>
          <w:szCs w:val="21"/>
        </w:rPr>
        <w:t>7</w:t>
      </w:r>
      <w:r>
        <w:rPr>
          <w:rFonts w:ascii="宋体" w:hAnsi="宋体" w:asciiTheme="minorEastAsia" w:hAnsiTheme="minorEastAsia"/>
          <w:szCs w:val="21"/>
        </w:rPr>
        <w:t>月</w:t>
      </w:r>
      <w:r>
        <w:rPr>
          <w:rFonts w:eastAsia="宋体" w:ascii="宋体" w:hAnsi="宋体" w:asciiTheme="minorEastAsia" w:eastAsiaTheme="minorEastAsia" w:hAnsiTheme="minorEastAsia"/>
          <w:szCs w:val="21"/>
        </w:rPr>
        <w:t>31</w:t>
      </w:r>
      <w:r>
        <w:rPr>
          <w:rFonts w:ascii="宋体" w:hAnsi="宋体" w:asciiTheme="minorEastAsia" w:hAnsiTheme="minorEastAsia"/>
          <w:szCs w:val="21"/>
        </w:rPr>
        <w:t>日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Nimbus Sans">
    <w:charset w:val="01"/>
    <w:family w:val="swiss"/>
    <w:pitch w:val="variable"/>
  </w:font>
  <w:font w:name="华文楷体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05d3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kern w:val="2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b151a1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link w:val="2Char"/>
    <w:uiPriority w:val="9"/>
    <w:unhideWhenUsed/>
    <w:qFormat/>
    <w:rsid w:val="006d4083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0a05d3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0a05d3"/>
    <w:rPr>
      <w:sz w:val="18"/>
      <w:szCs w:val="18"/>
    </w:rPr>
  </w:style>
  <w:style w:type="character" w:styleId="2Char" w:customStyle="1">
    <w:name w:val="标题 2 Char"/>
    <w:basedOn w:val="DefaultParagraphFont"/>
    <w:link w:val="2"/>
    <w:uiPriority w:val="9"/>
    <w:qFormat/>
    <w:rsid w:val="006d4083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1Char" w:customStyle="1">
    <w:name w:val="标题 1 Char"/>
    <w:basedOn w:val="DefaultParagraphFont"/>
    <w:link w:val="1"/>
    <w:uiPriority w:val="9"/>
    <w:qFormat/>
    <w:rsid w:val="00b151a1"/>
    <w:rPr>
      <w:rFonts w:ascii="Times New Roman" w:hAnsi="Times New Roman" w:eastAsia="宋体" w:cs="Times New Roman"/>
      <w:b/>
      <w:bCs/>
      <w:kern w:val="2"/>
      <w:sz w:val="44"/>
      <w:szCs w:val="44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新宋体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0a05d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0a05d3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833cd"/>
    <w:pPr>
      <w:ind w:firstLine="42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6d40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LibreOffice/6.3.0.4$Linux_X86_64 LibreOffice_project/30$Build-4</Application>
  <Pages>4</Pages>
  <Words>965</Words>
  <Characters>1315</Characters>
  <CharactersWithSpaces>1410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2019-07-07T00:42:00Z</dcterms:created>
  <dc:creator>试算用户33</dc:creator>
  <dc:description/>
  <dc:language>zh-CN</dc:language>
  <cp:lastModifiedBy/>
  <cp:lastPrinted>2016-04-06T07:31:00Z</cp:lastPrinted>
  <dcterms:modified xsi:type="dcterms:W3CDTF">2019-08-28T21:24:57Z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