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Tutorial 7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TWO (2) abstract models of storage.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 Storage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model reflects the physical organization of several storage media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memory of a computer is organized as an array of memory cells and a secondary storage device, e.g., a disk is organized in sectors or blocks read and written as a unit.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Storage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that keeps track of the changes that will be made in a journal (usually a circular log in a dedicated area of the file system) before committing them to the main file system.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event of a system crash or power failure, such file systems are quicker to bring back online and less likely to become corrupted. Journal storage consists of a manager and cell storage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THREE (3) classes of file systems.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File System (NFSs)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Area Networks (SANs)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file systems (PFSs)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Storage Area Networks (SAN) and Parallel File Systems (PFS).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Storage Area Networks (SAN)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Allow cloud servers to deal with non-disruptive changes in the storage configuration. The storage in a SAN can be pooled and then allocated based on the needs of the servers. A SAN-based implementation of a file system can be expensive, as each node must have a Fibre Channel adapter to connect to the network.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File Systems (PFS)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Scalable and capable of distributing files across a large number of nodes, with a global naming space. Several I/O nodes serve data to all computational nodes; it also includes a metadata server which contains information about the data stored in the I/O nodes. The interconnection network of a PFS could be a SAN.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terms Database, Database Management System (DBMS) and Query Language.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Database is a collection of logically related records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Management System (DBMS)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DBMS is the software that controls the access to the database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Query language is a dedicated programming language used to develop database applications.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THREE (3) design objectives of Network File System (NFS)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Objectives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same semantics as a local Unix File System (UFS) to ensure compatibility with existing applications.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 easy integration into existing UFS.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system will be widely used; thus, support clients running on different operating systems.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 modest performance degradation due to remote access over a network with a bandwidth of several Mbps.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