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Tutorial 8</w:t>
      </w:r>
    </w:p>
    <w:p w:rsidR="00000000" w:rsidDel="00000000" w:rsidP="00000000" w:rsidRDefault="00000000" w:rsidRPr="00000000" w14:paraId="00000002">
      <w:pPr>
        <w:pageBreakBefore w:val="0"/>
        <w:numPr>
          <w:ilvl w:val="0"/>
          <w:numId w:val="9"/>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THREE (3) possible actors that may be involved in a cloud computing attack</w:t>
      </w:r>
    </w:p>
    <w:p w:rsidR="00000000" w:rsidDel="00000000" w:rsidP="00000000" w:rsidRDefault="00000000" w:rsidRPr="00000000" w14:paraId="00000003">
      <w:pPr>
        <w:pageBreakBefore w:val="0"/>
        <w:jc w:val="left"/>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1c4587"/>
          <w:rtl w:val="0"/>
        </w:rPr>
        <w:t xml:space="preserve">The </w:t>
      </w:r>
      <w:r w:rsidDel="00000000" w:rsidR="00000000" w:rsidRPr="00000000">
        <w:rPr>
          <w:rFonts w:ascii="Times New Roman" w:cs="Times New Roman" w:eastAsia="Times New Roman" w:hAnsi="Times New Roman"/>
          <w:b w:val="1"/>
          <w:color w:val="1c4587"/>
          <w:rtl w:val="0"/>
        </w:rPr>
        <w:t xml:space="preserve">user </w:t>
      </w:r>
      <w:r w:rsidDel="00000000" w:rsidR="00000000" w:rsidRPr="00000000">
        <w:rPr>
          <w:rFonts w:ascii="Times New Roman" w:cs="Times New Roman" w:eastAsia="Times New Roman" w:hAnsi="Times New Roman"/>
          <w:color w:val="1c4587"/>
          <w:rtl w:val="0"/>
        </w:rPr>
        <w:t xml:space="preserve">can be attacked by:</w:t>
      </w:r>
    </w:p>
    <w:p w:rsidR="00000000" w:rsidDel="00000000" w:rsidP="00000000" w:rsidRDefault="00000000" w:rsidRPr="00000000" w14:paraId="00000004">
      <w:pPr>
        <w:pageBreakBefore w:val="0"/>
        <w:numPr>
          <w:ilvl w:val="0"/>
          <w:numId w:val="10"/>
        </w:numPr>
        <w:ind w:left="1440" w:hanging="360"/>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b w:val="1"/>
          <w:color w:val="1c4587"/>
          <w:rtl w:val="0"/>
        </w:rPr>
        <w:t xml:space="preserve">Service </w:t>
      </w:r>
      <w:r w:rsidDel="00000000" w:rsidR="00000000" w:rsidRPr="00000000">
        <w:rPr>
          <w:rFonts w:ascii="Times New Roman" w:cs="Times New Roman" w:eastAsia="Times New Roman" w:hAnsi="Times New Roman"/>
          <w:color w:val="1c4587"/>
          <w:rtl w:val="0"/>
        </w:rPr>
        <w:t xml:space="preserve">- SSL certificate spoofing, attacks on browser caches, or phishing attacks.</w:t>
      </w:r>
    </w:p>
    <w:p w:rsidR="00000000" w:rsidDel="00000000" w:rsidP="00000000" w:rsidRDefault="00000000" w:rsidRPr="00000000" w14:paraId="00000005">
      <w:pPr>
        <w:pageBreakBefore w:val="0"/>
        <w:numPr>
          <w:ilvl w:val="0"/>
          <w:numId w:val="10"/>
        </w:numPr>
        <w:ind w:left="1440" w:hanging="360"/>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b w:val="1"/>
          <w:color w:val="1c4587"/>
          <w:rtl w:val="0"/>
        </w:rPr>
        <w:t xml:space="preserve">Cloud infrastructure</w:t>
      </w:r>
      <w:r w:rsidDel="00000000" w:rsidR="00000000" w:rsidRPr="00000000">
        <w:rPr>
          <w:rFonts w:ascii="Times New Roman" w:cs="Times New Roman" w:eastAsia="Times New Roman" w:hAnsi="Times New Roman"/>
          <w:color w:val="1c4587"/>
          <w:rtl w:val="0"/>
        </w:rPr>
        <w:t xml:space="preserve"> - attacks that either originate at the cloud or spoofs to originate from cloud infrastructure</w:t>
      </w:r>
    </w:p>
    <w:p w:rsidR="00000000" w:rsidDel="00000000" w:rsidP="00000000" w:rsidRDefault="00000000" w:rsidRPr="00000000" w14:paraId="00000006">
      <w:pPr>
        <w:pageBreakBefore w:val="0"/>
        <w:ind w:left="720" w:firstLine="0"/>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ab/>
        <w:t xml:space="preserve">The </w:t>
      </w:r>
      <w:r w:rsidDel="00000000" w:rsidR="00000000" w:rsidRPr="00000000">
        <w:rPr>
          <w:rFonts w:ascii="Times New Roman" w:cs="Times New Roman" w:eastAsia="Times New Roman" w:hAnsi="Times New Roman"/>
          <w:b w:val="1"/>
          <w:color w:val="1c4587"/>
          <w:rtl w:val="0"/>
        </w:rPr>
        <w:t xml:space="preserve">service </w:t>
      </w:r>
      <w:r w:rsidDel="00000000" w:rsidR="00000000" w:rsidRPr="00000000">
        <w:rPr>
          <w:rFonts w:ascii="Times New Roman" w:cs="Times New Roman" w:eastAsia="Times New Roman" w:hAnsi="Times New Roman"/>
          <w:color w:val="1c4587"/>
          <w:rtl w:val="0"/>
        </w:rPr>
        <w:t xml:space="preserve">can be attacked by:</w:t>
      </w:r>
    </w:p>
    <w:p w:rsidR="00000000" w:rsidDel="00000000" w:rsidP="00000000" w:rsidRDefault="00000000" w:rsidRPr="00000000" w14:paraId="00000008">
      <w:pPr>
        <w:pageBreakBefore w:val="0"/>
        <w:numPr>
          <w:ilvl w:val="0"/>
          <w:numId w:val="11"/>
        </w:numPr>
        <w:ind w:left="1440" w:hanging="360"/>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b w:val="1"/>
          <w:color w:val="1c4587"/>
          <w:rtl w:val="0"/>
        </w:rPr>
        <w:t xml:space="preserve">User </w:t>
      </w:r>
      <w:r w:rsidDel="00000000" w:rsidR="00000000" w:rsidRPr="00000000">
        <w:rPr>
          <w:rFonts w:ascii="Times New Roman" w:cs="Times New Roman" w:eastAsia="Times New Roman" w:hAnsi="Times New Roman"/>
          <w:color w:val="1c4587"/>
          <w:rtl w:val="0"/>
        </w:rPr>
        <w:t xml:space="preserve">- buffer overflow, SQL injection, and privilege escalation are the common types of attacks.</w:t>
      </w:r>
    </w:p>
    <w:p w:rsidR="00000000" w:rsidDel="00000000" w:rsidP="00000000" w:rsidRDefault="00000000" w:rsidRPr="00000000" w14:paraId="00000009">
      <w:pPr>
        <w:pageBreakBefore w:val="0"/>
        <w:numPr>
          <w:ilvl w:val="0"/>
          <w:numId w:val="11"/>
        </w:numPr>
        <w:ind w:left="1440" w:hanging="360"/>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b w:val="1"/>
          <w:color w:val="1c4587"/>
          <w:rtl w:val="0"/>
        </w:rPr>
        <w:t xml:space="preserve">Cloud infrastructure</w:t>
      </w:r>
      <w:r w:rsidDel="00000000" w:rsidR="00000000" w:rsidRPr="00000000">
        <w:rPr>
          <w:rFonts w:ascii="Times New Roman" w:cs="Times New Roman" w:eastAsia="Times New Roman" w:hAnsi="Times New Roman"/>
          <w:color w:val="1c4587"/>
          <w:rtl w:val="0"/>
        </w:rPr>
        <w:t xml:space="preserve"> the most serious line of attack. Limiting access to resources, privileged-related attacks, data distortion, injecting additional operation</w:t>
      </w:r>
    </w:p>
    <w:p w:rsidR="00000000" w:rsidDel="00000000" w:rsidP="00000000" w:rsidRDefault="00000000" w:rsidRPr="00000000" w14:paraId="0000000A">
      <w:pPr>
        <w:pageBreakBefore w:val="0"/>
        <w:ind w:left="720" w:firstLine="0"/>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0B">
      <w:pPr>
        <w:pageBreakBefore w:val="0"/>
        <w:ind w:firstLine="720"/>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 xml:space="preserve">The </w:t>
      </w:r>
      <w:r w:rsidDel="00000000" w:rsidR="00000000" w:rsidRPr="00000000">
        <w:rPr>
          <w:rFonts w:ascii="Times New Roman" w:cs="Times New Roman" w:eastAsia="Times New Roman" w:hAnsi="Times New Roman"/>
          <w:b w:val="1"/>
          <w:color w:val="1c4587"/>
          <w:rtl w:val="0"/>
        </w:rPr>
        <w:t xml:space="preserve">cloud infrastructure</w:t>
      </w:r>
      <w:r w:rsidDel="00000000" w:rsidR="00000000" w:rsidRPr="00000000">
        <w:rPr>
          <w:rFonts w:ascii="Times New Roman" w:cs="Times New Roman" w:eastAsia="Times New Roman" w:hAnsi="Times New Roman"/>
          <w:color w:val="1c4587"/>
          <w:rtl w:val="0"/>
        </w:rPr>
        <w:t xml:space="preserve"> can be attacked by:</w:t>
      </w:r>
    </w:p>
    <w:p w:rsidR="00000000" w:rsidDel="00000000" w:rsidP="00000000" w:rsidRDefault="00000000" w:rsidRPr="00000000" w14:paraId="0000000C">
      <w:pPr>
        <w:pageBreakBefore w:val="0"/>
        <w:numPr>
          <w:ilvl w:val="0"/>
          <w:numId w:val="4"/>
        </w:numPr>
        <w:ind w:left="1440" w:hanging="360"/>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b w:val="1"/>
          <w:color w:val="1c4587"/>
          <w:rtl w:val="0"/>
        </w:rPr>
        <w:t xml:space="preserve">User </w:t>
      </w:r>
      <w:r w:rsidDel="00000000" w:rsidR="00000000" w:rsidRPr="00000000">
        <w:rPr>
          <w:rFonts w:ascii="Times New Roman" w:cs="Times New Roman" w:eastAsia="Times New Roman" w:hAnsi="Times New Roman"/>
          <w:color w:val="1c4587"/>
          <w:rtl w:val="0"/>
        </w:rPr>
        <w:t xml:space="preserve">- targets the cloud control system</w:t>
      </w:r>
    </w:p>
    <w:p w:rsidR="00000000" w:rsidDel="00000000" w:rsidP="00000000" w:rsidRDefault="00000000" w:rsidRPr="00000000" w14:paraId="0000000D">
      <w:pPr>
        <w:pageBreakBefore w:val="0"/>
        <w:numPr>
          <w:ilvl w:val="0"/>
          <w:numId w:val="4"/>
        </w:numPr>
        <w:ind w:left="1440" w:hanging="360"/>
        <w:rPr>
          <w:rFonts w:ascii="Times New Roman" w:cs="Times New Roman" w:eastAsia="Times New Roman" w:hAnsi="Times New Roman"/>
          <w:color w:val="1c4587"/>
          <w:u w:val="none"/>
        </w:rPr>
      </w:pPr>
      <w:r w:rsidDel="00000000" w:rsidR="00000000" w:rsidRPr="00000000">
        <w:rPr>
          <w:rFonts w:ascii="Times New Roman" w:cs="Times New Roman" w:eastAsia="Times New Roman" w:hAnsi="Times New Roman"/>
          <w:b w:val="1"/>
          <w:color w:val="1c4587"/>
          <w:rtl w:val="0"/>
        </w:rPr>
        <w:t xml:space="preserve">Service </w:t>
      </w:r>
      <w:r w:rsidDel="00000000" w:rsidR="00000000" w:rsidRPr="00000000">
        <w:rPr>
          <w:rFonts w:ascii="Times New Roman" w:cs="Times New Roman" w:eastAsia="Times New Roman" w:hAnsi="Times New Roman"/>
          <w:color w:val="1c4587"/>
          <w:rtl w:val="0"/>
        </w:rPr>
        <w:t xml:space="preserve">- requesting an excessive amount of resources and causing the exhaustion of the resources</w:t>
      </w:r>
      <w:r w:rsidDel="00000000" w:rsidR="00000000" w:rsidRPr="00000000">
        <w:rPr>
          <w:rtl w:val="0"/>
        </w:rPr>
      </w:r>
    </w:p>
    <w:p w:rsidR="00000000" w:rsidDel="00000000" w:rsidP="00000000" w:rsidRDefault="00000000" w:rsidRPr="00000000" w14:paraId="0000000E">
      <w:pPr>
        <w:pageBreakBefore w:val="0"/>
        <w:jc w:val="left"/>
        <w:rPr>
          <w:rFonts w:ascii="Times New Roman" w:cs="Times New Roman" w:eastAsia="Times New Roman" w:hAnsi="Times New Roman"/>
          <w:color w:val="0b5394"/>
        </w:rPr>
      </w:pPr>
      <w:r w:rsidDel="00000000" w:rsidR="00000000" w:rsidRPr="00000000">
        <w:rPr>
          <w:rtl w:val="0"/>
        </w:rPr>
      </w:r>
    </w:p>
    <w:p w:rsidR="00000000" w:rsidDel="00000000" w:rsidP="00000000" w:rsidRDefault="00000000" w:rsidRPr="00000000" w14:paraId="0000000F">
      <w:pPr>
        <w:pageBreakBefore w:val="0"/>
        <w:numPr>
          <w:ilvl w:val="0"/>
          <w:numId w:val="9"/>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Privacy? </w:t>
      </w:r>
    </w:p>
    <w:p w:rsidR="00000000" w:rsidDel="00000000" w:rsidP="00000000" w:rsidRDefault="00000000" w:rsidRPr="00000000" w14:paraId="00000010">
      <w:pPr>
        <w:pageBreakBefore w:val="0"/>
        <w:numPr>
          <w:ilvl w:val="0"/>
          <w:numId w:val="6"/>
        </w:numPr>
        <w:ind w:left="1440" w:hanging="360"/>
        <w:jc w:val="left"/>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 xml:space="preserve">The right of an individual, a group of individuals, or an organization to keep information of personal nature or proprietary information from being disclosed. </w:t>
      </w:r>
    </w:p>
    <w:p w:rsidR="00000000" w:rsidDel="00000000" w:rsidP="00000000" w:rsidRDefault="00000000" w:rsidRPr="00000000" w14:paraId="00000011">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numPr>
          <w:ilvl w:val="0"/>
          <w:numId w:val="9"/>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FOUR (4) Fair Information Practices (FIP)</w:t>
      </w:r>
    </w:p>
    <w:p w:rsidR="00000000" w:rsidDel="00000000" w:rsidP="00000000" w:rsidRDefault="00000000" w:rsidRPr="00000000" w14:paraId="00000013">
      <w:pPr>
        <w:pageBreakBefore w:val="0"/>
        <w:numPr>
          <w:ilvl w:val="0"/>
          <w:numId w:val="8"/>
        </w:numPr>
        <w:ind w:left="1440" w:hanging="360"/>
        <w:jc w:val="left"/>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 xml:space="preserve">Notice</w:t>
      </w:r>
    </w:p>
    <w:p w:rsidR="00000000" w:rsidDel="00000000" w:rsidP="00000000" w:rsidRDefault="00000000" w:rsidRPr="00000000" w14:paraId="00000014">
      <w:pPr>
        <w:pageBreakBefore w:val="0"/>
        <w:numPr>
          <w:ilvl w:val="0"/>
          <w:numId w:val="8"/>
        </w:numPr>
        <w:ind w:left="1440" w:hanging="360"/>
        <w:jc w:val="left"/>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 xml:space="preserve">Choice</w:t>
      </w:r>
    </w:p>
    <w:p w:rsidR="00000000" w:rsidDel="00000000" w:rsidP="00000000" w:rsidRDefault="00000000" w:rsidRPr="00000000" w14:paraId="00000015">
      <w:pPr>
        <w:pageBreakBefore w:val="0"/>
        <w:numPr>
          <w:ilvl w:val="0"/>
          <w:numId w:val="8"/>
        </w:numPr>
        <w:ind w:left="1440" w:hanging="360"/>
        <w:jc w:val="left"/>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 xml:space="preserve">Access</w:t>
      </w:r>
    </w:p>
    <w:p w:rsidR="00000000" w:rsidDel="00000000" w:rsidP="00000000" w:rsidRDefault="00000000" w:rsidRPr="00000000" w14:paraId="00000016">
      <w:pPr>
        <w:pageBreakBefore w:val="0"/>
        <w:numPr>
          <w:ilvl w:val="0"/>
          <w:numId w:val="8"/>
        </w:numPr>
        <w:ind w:left="1440" w:hanging="360"/>
        <w:jc w:val="left"/>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 xml:space="preserve">Security</w:t>
      </w:r>
    </w:p>
    <w:p w:rsidR="00000000" w:rsidDel="00000000" w:rsidP="00000000" w:rsidRDefault="00000000" w:rsidRPr="00000000" w14:paraId="00000017">
      <w:pPr>
        <w:pageBreakBefore w:val="0"/>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18">
      <w:pPr>
        <w:pageBreakBefore w:val="0"/>
        <w:numPr>
          <w:ilvl w:val="0"/>
          <w:numId w:val="9"/>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Trust? Explain TWO (2) conditions that must exist for Trust to develop.</w:t>
      </w:r>
    </w:p>
    <w:p w:rsidR="00000000" w:rsidDel="00000000" w:rsidP="00000000" w:rsidRDefault="00000000" w:rsidRPr="00000000" w14:paraId="00000019">
      <w:pPr>
        <w:pageBreakBefore w:val="0"/>
        <w:numPr>
          <w:ilvl w:val="0"/>
          <w:numId w:val="5"/>
        </w:numPr>
        <w:ind w:left="1440" w:hanging="360"/>
        <w:jc w:val="left"/>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 xml:space="preserve">Assured reliance on the character, ability, strength, or truth of someone or something.</w:t>
      </w:r>
    </w:p>
    <w:p w:rsidR="00000000" w:rsidDel="00000000" w:rsidP="00000000" w:rsidRDefault="00000000" w:rsidRPr="00000000" w14:paraId="0000001A">
      <w:pPr>
        <w:pageBreakBefore w:val="0"/>
        <w:numPr>
          <w:ilvl w:val="0"/>
          <w:numId w:val="5"/>
        </w:numPr>
        <w:ind w:left="1440" w:hanging="360"/>
        <w:jc w:val="left"/>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 xml:space="preserve">Two </w:t>
      </w:r>
      <w:r w:rsidDel="00000000" w:rsidR="00000000" w:rsidRPr="00000000">
        <w:rPr>
          <w:rFonts w:ascii="Times New Roman" w:cs="Times New Roman" w:eastAsia="Times New Roman" w:hAnsi="Times New Roman"/>
          <w:b w:val="1"/>
          <w:color w:val="1c4587"/>
          <w:rtl w:val="0"/>
        </w:rPr>
        <w:t xml:space="preserve">conditions </w:t>
      </w:r>
      <w:r w:rsidDel="00000000" w:rsidR="00000000" w:rsidRPr="00000000">
        <w:rPr>
          <w:rFonts w:ascii="Times New Roman" w:cs="Times New Roman" w:eastAsia="Times New Roman" w:hAnsi="Times New Roman"/>
          <w:color w:val="1c4587"/>
          <w:rtl w:val="0"/>
        </w:rPr>
        <w:t xml:space="preserve">must exist for trust to develop:</w:t>
      </w:r>
    </w:p>
    <w:p w:rsidR="00000000" w:rsidDel="00000000" w:rsidP="00000000" w:rsidRDefault="00000000" w:rsidRPr="00000000" w14:paraId="0000001B">
      <w:pPr>
        <w:pageBreakBefore w:val="0"/>
        <w:numPr>
          <w:ilvl w:val="0"/>
          <w:numId w:val="7"/>
        </w:numPr>
        <w:ind w:left="2160" w:hanging="360"/>
        <w:jc w:val="left"/>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b w:val="1"/>
          <w:color w:val="1c4587"/>
          <w:rtl w:val="0"/>
        </w:rPr>
        <w:t xml:space="preserve">Risk </w:t>
      </w:r>
      <w:r w:rsidDel="00000000" w:rsidR="00000000" w:rsidRPr="00000000">
        <w:rPr>
          <w:rFonts w:ascii="Times New Roman" w:cs="Times New Roman" w:eastAsia="Times New Roman" w:hAnsi="Times New Roman"/>
          <w:color w:val="1c4587"/>
          <w:rtl w:val="0"/>
        </w:rPr>
        <w:t xml:space="preserve">- the perceived probability of loss; trust not necessary if there is no risk involved, if there is a certainty that an action can succeed. </w:t>
      </w:r>
    </w:p>
    <w:p w:rsidR="00000000" w:rsidDel="00000000" w:rsidP="00000000" w:rsidRDefault="00000000" w:rsidRPr="00000000" w14:paraId="0000001C">
      <w:pPr>
        <w:pageBreakBefore w:val="0"/>
        <w:numPr>
          <w:ilvl w:val="0"/>
          <w:numId w:val="7"/>
        </w:numPr>
        <w:ind w:left="2160" w:hanging="360"/>
        <w:jc w:val="left"/>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b w:val="1"/>
          <w:color w:val="1c4587"/>
          <w:rtl w:val="0"/>
        </w:rPr>
        <w:t xml:space="preserve">Interdependence </w:t>
      </w:r>
      <w:r w:rsidDel="00000000" w:rsidR="00000000" w:rsidRPr="00000000">
        <w:rPr>
          <w:rFonts w:ascii="Times New Roman" w:cs="Times New Roman" w:eastAsia="Times New Roman" w:hAnsi="Times New Roman"/>
          <w:color w:val="1c4587"/>
          <w:rtl w:val="0"/>
        </w:rPr>
        <w:t xml:space="preserve">- the interests of one entity cannot be archived without reliance on other entities.</w:t>
      </w:r>
    </w:p>
    <w:p w:rsidR="00000000" w:rsidDel="00000000" w:rsidP="00000000" w:rsidRDefault="00000000" w:rsidRPr="00000000" w14:paraId="0000001D">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numPr>
          <w:ilvl w:val="0"/>
          <w:numId w:val="9"/>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THREE (3) phases of Trust relationship.</w:t>
      </w:r>
    </w:p>
    <w:p w:rsidR="00000000" w:rsidDel="00000000" w:rsidP="00000000" w:rsidRDefault="00000000" w:rsidRPr="00000000" w14:paraId="0000001F">
      <w:pPr>
        <w:pageBreakBefore w:val="0"/>
        <w:numPr>
          <w:ilvl w:val="0"/>
          <w:numId w:val="2"/>
        </w:numPr>
        <w:ind w:left="1440" w:hanging="360"/>
        <w:jc w:val="left"/>
        <w:rPr>
          <w:color w:val="1c4587"/>
        </w:rPr>
      </w:pPr>
      <w:r w:rsidDel="00000000" w:rsidR="00000000" w:rsidRPr="00000000">
        <w:rPr>
          <w:rFonts w:ascii="Times New Roman" w:cs="Times New Roman" w:eastAsia="Times New Roman" w:hAnsi="Times New Roman"/>
          <w:b w:val="1"/>
          <w:color w:val="1c4587"/>
          <w:rtl w:val="0"/>
        </w:rPr>
        <w:t xml:space="preserve">Building phase</w:t>
      </w:r>
      <w:r w:rsidDel="00000000" w:rsidR="00000000" w:rsidRPr="00000000">
        <w:rPr>
          <w:rFonts w:ascii="Times New Roman" w:cs="Times New Roman" w:eastAsia="Times New Roman" w:hAnsi="Times New Roman"/>
          <w:color w:val="1c4587"/>
          <w:rtl w:val="0"/>
        </w:rPr>
        <w:t xml:space="preserve">, when trust is formed. </w:t>
      </w:r>
    </w:p>
    <w:p w:rsidR="00000000" w:rsidDel="00000000" w:rsidP="00000000" w:rsidRDefault="00000000" w:rsidRPr="00000000" w14:paraId="00000020">
      <w:pPr>
        <w:pageBreakBefore w:val="0"/>
        <w:numPr>
          <w:ilvl w:val="0"/>
          <w:numId w:val="2"/>
        </w:numPr>
        <w:ind w:left="1440" w:hanging="360"/>
        <w:jc w:val="left"/>
        <w:rPr>
          <w:color w:val="1c4587"/>
        </w:rPr>
      </w:pPr>
      <w:r w:rsidDel="00000000" w:rsidR="00000000" w:rsidRPr="00000000">
        <w:rPr>
          <w:rFonts w:ascii="Times New Roman" w:cs="Times New Roman" w:eastAsia="Times New Roman" w:hAnsi="Times New Roman"/>
          <w:b w:val="1"/>
          <w:color w:val="1c4587"/>
          <w:rtl w:val="0"/>
        </w:rPr>
        <w:t xml:space="preserve">Stability phase</w:t>
      </w:r>
      <w:r w:rsidDel="00000000" w:rsidR="00000000" w:rsidRPr="00000000">
        <w:rPr>
          <w:rFonts w:ascii="Times New Roman" w:cs="Times New Roman" w:eastAsia="Times New Roman" w:hAnsi="Times New Roman"/>
          <w:color w:val="1c4587"/>
          <w:rtl w:val="0"/>
        </w:rPr>
        <w:t xml:space="preserve">, when trust exists. </w:t>
      </w:r>
    </w:p>
    <w:p w:rsidR="00000000" w:rsidDel="00000000" w:rsidP="00000000" w:rsidRDefault="00000000" w:rsidRPr="00000000" w14:paraId="00000021">
      <w:pPr>
        <w:pageBreakBefore w:val="0"/>
        <w:numPr>
          <w:ilvl w:val="0"/>
          <w:numId w:val="2"/>
        </w:numPr>
        <w:ind w:left="1440" w:hanging="360"/>
        <w:jc w:val="left"/>
        <w:rPr>
          <w:color w:val="1c4587"/>
        </w:rPr>
      </w:pPr>
      <w:r w:rsidDel="00000000" w:rsidR="00000000" w:rsidRPr="00000000">
        <w:rPr>
          <w:rFonts w:ascii="Times New Roman" w:cs="Times New Roman" w:eastAsia="Times New Roman" w:hAnsi="Times New Roman"/>
          <w:b w:val="1"/>
          <w:color w:val="1c4587"/>
          <w:rtl w:val="0"/>
        </w:rPr>
        <w:t xml:space="preserve">Dissolution phase</w:t>
      </w:r>
      <w:r w:rsidDel="00000000" w:rsidR="00000000" w:rsidRPr="00000000">
        <w:rPr>
          <w:rFonts w:ascii="Times New Roman" w:cs="Times New Roman" w:eastAsia="Times New Roman" w:hAnsi="Times New Roman"/>
          <w:color w:val="1c4587"/>
          <w:rtl w:val="0"/>
        </w:rPr>
        <w:t xml:space="preserve">, when trust declines. </w:t>
      </w:r>
    </w:p>
    <w:p w:rsidR="00000000" w:rsidDel="00000000" w:rsidP="00000000" w:rsidRDefault="00000000" w:rsidRPr="00000000" w14:paraId="00000022">
      <w:pPr>
        <w:pageBreakBefore w:val="0"/>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23">
      <w:pPr>
        <w:pageBreakBefore w:val="0"/>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24">
      <w:pPr>
        <w:pageBreakBefore w:val="0"/>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25">
      <w:pPr>
        <w:pageBreakBefore w:val="0"/>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26">
      <w:pPr>
        <w:pageBreakBefore w:val="0"/>
        <w:numPr>
          <w:ilvl w:val="0"/>
          <w:numId w:val="9"/>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TWO (2) ways of determining Trust</w:t>
      </w:r>
    </w:p>
    <w:p w:rsidR="00000000" w:rsidDel="00000000" w:rsidP="00000000" w:rsidRDefault="00000000" w:rsidRPr="00000000" w14:paraId="00000027">
      <w:pPr>
        <w:pageBreakBefore w:val="0"/>
        <w:numPr>
          <w:ilvl w:val="0"/>
          <w:numId w:val="1"/>
        </w:numPr>
        <w:ind w:left="1440" w:hanging="360"/>
        <w:jc w:val="left"/>
        <w:rPr>
          <w:color w:val="1c4587"/>
        </w:rPr>
      </w:pPr>
      <w:r w:rsidDel="00000000" w:rsidR="00000000" w:rsidRPr="00000000">
        <w:rPr>
          <w:rFonts w:ascii="Times New Roman" w:cs="Times New Roman" w:eastAsia="Times New Roman" w:hAnsi="Times New Roman"/>
          <w:b w:val="1"/>
          <w:color w:val="1c4587"/>
          <w:rtl w:val="0"/>
        </w:rPr>
        <w:t xml:space="preserve">Policies </w:t>
      </w:r>
      <w:r w:rsidDel="00000000" w:rsidR="00000000" w:rsidRPr="00000000">
        <w:rPr>
          <w:rFonts w:ascii="Times New Roman" w:cs="Times New Roman" w:eastAsia="Times New Roman" w:hAnsi="Times New Roman"/>
          <w:color w:val="1c4587"/>
          <w:rtl w:val="0"/>
        </w:rPr>
        <w:t xml:space="preserve">- Policies reveal the conditions to obtain trust, and the actions when some of the conditions are met. Policies require the verification of credentials; credentials are issued by a trusted authority and describe the qualities of the entity using the credential.</w:t>
      </w:r>
    </w:p>
    <w:p w:rsidR="00000000" w:rsidDel="00000000" w:rsidP="00000000" w:rsidRDefault="00000000" w:rsidRPr="00000000" w14:paraId="00000028">
      <w:pPr>
        <w:pageBreakBefore w:val="0"/>
        <w:ind w:left="1440" w:firstLine="0"/>
        <w:jc w:val="left"/>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29">
      <w:pPr>
        <w:pageBreakBefore w:val="0"/>
        <w:numPr>
          <w:ilvl w:val="0"/>
          <w:numId w:val="1"/>
        </w:numPr>
        <w:ind w:left="1440" w:hanging="360"/>
        <w:jc w:val="left"/>
        <w:rPr>
          <w:color w:val="1c4587"/>
        </w:rPr>
      </w:pPr>
      <w:r w:rsidDel="00000000" w:rsidR="00000000" w:rsidRPr="00000000">
        <w:rPr>
          <w:rFonts w:ascii="Times New Roman" w:cs="Times New Roman" w:eastAsia="Times New Roman" w:hAnsi="Times New Roman"/>
          <w:b w:val="1"/>
          <w:color w:val="1c4587"/>
          <w:rtl w:val="0"/>
        </w:rPr>
        <w:t xml:space="preserve">Reputation </w:t>
      </w:r>
      <w:r w:rsidDel="00000000" w:rsidR="00000000" w:rsidRPr="00000000">
        <w:rPr>
          <w:rFonts w:ascii="Times New Roman" w:cs="Times New Roman" w:eastAsia="Times New Roman" w:hAnsi="Times New Roman"/>
          <w:color w:val="1c4587"/>
          <w:rtl w:val="0"/>
        </w:rPr>
        <w:t xml:space="preserve">- Reputation is a quality attributed to an entity based on a relatively long history of interactions or possibly observations of the entity. Recommendations are based on trust decisions made by others and filtered through the perspective of the entity assessing the trust.</w:t>
      </w:r>
    </w:p>
    <w:p w:rsidR="00000000" w:rsidDel="00000000" w:rsidP="00000000" w:rsidRDefault="00000000" w:rsidRPr="00000000" w14:paraId="0000002A">
      <w:pPr>
        <w:pageBreakBefore w:val="0"/>
        <w:jc w:val="left"/>
        <w:rPr>
          <w:rFonts w:ascii="Times New Roman" w:cs="Times New Roman" w:eastAsia="Times New Roman" w:hAnsi="Times New Roman"/>
          <w:color w:val="1c4587"/>
          <w:sz w:val="20"/>
          <w:szCs w:val="20"/>
        </w:rPr>
      </w:pPr>
      <w:r w:rsidDel="00000000" w:rsidR="00000000" w:rsidRPr="00000000">
        <w:rPr>
          <w:rtl w:val="0"/>
        </w:rPr>
      </w:r>
    </w:p>
    <w:p w:rsidR="00000000" w:rsidDel="00000000" w:rsidP="00000000" w:rsidRDefault="00000000" w:rsidRPr="00000000" w14:paraId="0000002B">
      <w:pPr>
        <w:pStyle w:val="Heading1"/>
        <w:pageBreakBefore w:val="0"/>
        <w:spacing w:after="0" w:before="0" w:lineRule="auto"/>
        <w:rPr>
          <w:b w:val="1"/>
          <w:color w:val="ff0000"/>
          <w:sz w:val="20"/>
          <w:szCs w:val="20"/>
        </w:rPr>
      </w:pPr>
      <w:bookmarkStart w:colFirst="0" w:colLast="0" w:name="_tecdxyingk9v" w:id="0"/>
      <w:bookmarkEnd w:id="0"/>
      <w:r w:rsidDel="00000000" w:rsidR="00000000" w:rsidRPr="00000000">
        <w:rPr>
          <w:sz w:val="20"/>
          <w:szCs w:val="20"/>
          <w:rtl w:val="0"/>
        </w:rPr>
        <w:t xml:space="preserve">Top Threats to Cloud Computing: </w:t>
      </w:r>
      <w:r w:rsidDel="00000000" w:rsidR="00000000" w:rsidRPr="00000000">
        <w:rPr>
          <w:b w:val="1"/>
          <w:color w:val="ff0000"/>
          <w:sz w:val="20"/>
          <w:szCs w:val="20"/>
          <w:rtl w:val="0"/>
        </w:rPr>
        <w:t xml:space="preserve">Egregious Eleven</w:t>
      </w:r>
    </w:p>
    <w:p w:rsidR="00000000" w:rsidDel="00000000" w:rsidP="00000000" w:rsidRDefault="00000000" w:rsidRPr="00000000" w14:paraId="0000002C">
      <w:pPr>
        <w:pageBreakBefore w:val="0"/>
        <w:numPr>
          <w:ilvl w:val="0"/>
          <w:numId w:val="3"/>
        </w:numPr>
        <w:ind w:left="720" w:hanging="360"/>
        <w:rPr>
          <w:sz w:val="20"/>
          <w:szCs w:val="20"/>
        </w:rPr>
      </w:pPr>
      <w:r w:rsidDel="00000000" w:rsidR="00000000" w:rsidRPr="00000000">
        <w:rPr>
          <w:sz w:val="20"/>
          <w:szCs w:val="20"/>
          <w:rtl w:val="0"/>
        </w:rPr>
        <w:t xml:space="preserve">Data Breaches</w:t>
      </w:r>
    </w:p>
    <w:p w:rsidR="00000000" w:rsidDel="00000000" w:rsidP="00000000" w:rsidRDefault="00000000" w:rsidRPr="00000000" w14:paraId="0000002D">
      <w:pPr>
        <w:pageBreakBefore w:val="0"/>
        <w:numPr>
          <w:ilvl w:val="0"/>
          <w:numId w:val="3"/>
        </w:numPr>
        <w:ind w:left="720" w:hanging="360"/>
        <w:rPr>
          <w:sz w:val="20"/>
          <w:szCs w:val="20"/>
        </w:rPr>
      </w:pPr>
      <w:r w:rsidDel="00000000" w:rsidR="00000000" w:rsidRPr="00000000">
        <w:rPr>
          <w:sz w:val="20"/>
          <w:szCs w:val="20"/>
          <w:rtl w:val="0"/>
        </w:rPr>
        <w:t xml:space="preserve">Misconfiguration and inadequate change control</w:t>
      </w:r>
    </w:p>
    <w:p w:rsidR="00000000" w:rsidDel="00000000" w:rsidP="00000000" w:rsidRDefault="00000000" w:rsidRPr="00000000" w14:paraId="0000002E">
      <w:pPr>
        <w:pageBreakBefore w:val="0"/>
        <w:numPr>
          <w:ilvl w:val="0"/>
          <w:numId w:val="3"/>
        </w:numPr>
        <w:ind w:left="720" w:hanging="360"/>
        <w:rPr>
          <w:sz w:val="20"/>
          <w:szCs w:val="20"/>
        </w:rPr>
      </w:pPr>
      <w:r w:rsidDel="00000000" w:rsidR="00000000" w:rsidRPr="00000000">
        <w:rPr>
          <w:sz w:val="20"/>
          <w:szCs w:val="20"/>
          <w:rtl w:val="0"/>
        </w:rPr>
        <w:t xml:space="preserve">Lack of cloud security architecture and strategy</w:t>
      </w:r>
    </w:p>
    <w:p w:rsidR="00000000" w:rsidDel="00000000" w:rsidP="00000000" w:rsidRDefault="00000000" w:rsidRPr="00000000" w14:paraId="0000002F">
      <w:pPr>
        <w:pageBreakBefore w:val="0"/>
        <w:numPr>
          <w:ilvl w:val="0"/>
          <w:numId w:val="3"/>
        </w:numPr>
        <w:ind w:left="720" w:hanging="360"/>
        <w:rPr>
          <w:sz w:val="20"/>
          <w:szCs w:val="20"/>
        </w:rPr>
      </w:pPr>
      <w:r w:rsidDel="00000000" w:rsidR="00000000" w:rsidRPr="00000000">
        <w:rPr>
          <w:sz w:val="20"/>
          <w:szCs w:val="20"/>
          <w:rtl w:val="0"/>
        </w:rPr>
        <w:t xml:space="preserve">Insufficient identity, credential, access and key management</w:t>
      </w:r>
    </w:p>
    <w:p w:rsidR="00000000" w:rsidDel="00000000" w:rsidP="00000000" w:rsidRDefault="00000000" w:rsidRPr="00000000" w14:paraId="00000030">
      <w:pPr>
        <w:pageBreakBefore w:val="0"/>
        <w:numPr>
          <w:ilvl w:val="0"/>
          <w:numId w:val="3"/>
        </w:numPr>
        <w:ind w:left="720" w:hanging="360"/>
        <w:rPr>
          <w:sz w:val="20"/>
          <w:szCs w:val="20"/>
        </w:rPr>
      </w:pPr>
      <w:r w:rsidDel="00000000" w:rsidR="00000000" w:rsidRPr="00000000">
        <w:rPr>
          <w:sz w:val="20"/>
          <w:szCs w:val="20"/>
          <w:rtl w:val="0"/>
        </w:rPr>
        <w:t xml:space="preserve">Account hijacking</w:t>
      </w:r>
    </w:p>
    <w:p w:rsidR="00000000" w:rsidDel="00000000" w:rsidP="00000000" w:rsidRDefault="00000000" w:rsidRPr="00000000" w14:paraId="00000031">
      <w:pPr>
        <w:pageBreakBefore w:val="0"/>
        <w:numPr>
          <w:ilvl w:val="0"/>
          <w:numId w:val="3"/>
        </w:numPr>
        <w:ind w:left="720" w:hanging="360"/>
        <w:rPr>
          <w:sz w:val="20"/>
          <w:szCs w:val="20"/>
        </w:rPr>
      </w:pPr>
      <w:r w:rsidDel="00000000" w:rsidR="00000000" w:rsidRPr="00000000">
        <w:rPr>
          <w:sz w:val="20"/>
          <w:szCs w:val="20"/>
          <w:rtl w:val="0"/>
        </w:rPr>
        <w:t xml:space="preserve">Insider threat</w:t>
      </w:r>
    </w:p>
    <w:p w:rsidR="00000000" w:rsidDel="00000000" w:rsidP="00000000" w:rsidRDefault="00000000" w:rsidRPr="00000000" w14:paraId="00000032">
      <w:pPr>
        <w:pageBreakBefore w:val="0"/>
        <w:numPr>
          <w:ilvl w:val="0"/>
          <w:numId w:val="3"/>
        </w:numPr>
        <w:ind w:left="720" w:hanging="360"/>
        <w:rPr>
          <w:sz w:val="20"/>
          <w:szCs w:val="20"/>
        </w:rPr>
      </w:pPr>
      <w:r w:rsidDel="00000000" w:rsidR="00000000" w:rsidRPr="00000000">
        <w:rPr>
          <w:sz w:val="20"/>
          <w:szCs w:val="20"/>
          <w:rtl w:val="0"/>
        </w:rPr>
        <w:t xml:space="preserve">Insecure interfaces and APIs</w:t>
      </w:r>
    </w:p>
    <w:p w:rsidR="00000000" w:rsidDel="00000000" w:rsidP="00000000" w:rsidRDefault="00000000" w:rsidRPr="00000000" w14:paraId="00000033">
      <w:pPr>
        <w:pageBreakBefore w:val="0"/>
        <w:numPr>
          <w:ilvl w:val="0"/>
          <w:numId w:val="3"/>
        </w:numPr>
        <w:ind w:left="720" w:hanging="360"/>
        <w:rPr>
          <w:sz w:val="20"/>
          <w:szCs w:val="20"/>
        </w:rPr>
      </w:pPr>
      <w:r w:rsidDel="00000000" w:rsidR="00000000" w:rsidRPr="00000000">
        <w:rPr>
          <w:sz w:val="20"/>
          <w:szCs w:val="20"/>
          <w:rtl w:val="0"/>
        </w:rPr>
        <w:t xml:space="preserve">Weak control plane</w:t>
      </w:r>
    </w:p>
    <w:p w:rsidR="00000000" w:rsidDel="00000000" w:rsidP="00000000" w:rsidRDefault="00000000" w:rsidRPr="00000000" w14:paraId="00000034">
      <w:pPr>
        <w:pageBreakBefore w:val="0"/>
        <w:numPr>
          <w:ilvl w:val="0"/>
          <w:numId w:val="3"/>
        </w:numPr>
        <w:ind w:left="720" w:hanging="360"/>
        <w:rPr>
          <w:sz w:val="20"/>
          <w:szCs w:val="20"/>
        </w:rPr>
      </w:pPr>
      <w:r w:rsidDel="00000000" w:rsidR="00000000" w:rsidRPr="00000000">
        <w:rPr>
          <w:sz w:val="20"/>
          <w:szCs w:val="20"/>
          <w:rtl w:val="0"/>
        </w:rPr>
        <w:t xml:space="preserve">Metastructure and applistructure failures</w:t>
      </w:r>
    </w:p>
    <w:p w:rsidR="00000000" w:rsidDel="00000000" w:rsidP="00000000" w:rsidRDefault="00000000" w:rsidRPr="00000000" w14:paraId="00000035">
      <w:pPr>
        <w:pageBreakBefore w:val="0"/>
        <w:numPr>
          <w:ilvl w:val="0"/>
          <w:numId w:val="3"/>
        </w:numPr>
        <w:ind w:left="720" w:hanging="360"/>
        <w:rPr>
          <w:sz w:val="20"/>
          <w:szCs w:val="20"/>
        </w:rPr>
      </w:pPr>
      <w:r w:rsidDel="00000000" w:rsidR="00000000" w:rsidRPr="00000000">
        <w:rPr>
          <w:sz w:val="20"/>
          <w:szCs w:val="20"/>
          <w:rtl w:val="0"/>
        </w:rPr>
        <w:t xml:space="preserve">Limited cloud usage visibility</w:t>
      </w:r>
    </w:p>
    <w:p w:rsidR="00000000" w:rsidDel="00000000" w:rsidP="00000000" w:rsidRDefault="00000000" w:rsidRPr="00000000" w14:paraId="00000036">
      <w:pPr>
        <w:pageBreakBefore w:val="0"/>
        <w:numPr>
          <w:ilvl w:val="0"/>
          <w:numId w:val="3"/>
        </w:numPr>
        <w:ind w:left="720" w:hanging="360"/>
        <w:rPr>
          <w:sz w:val="20"/>
          <w:szCs w:val="20"/>
        </w:rPr>
      </w:pPr>
      <w:r w:rsidDel="00000000" w:rsidR="00000000" w:rsidRPr="00000000">
        <w:rPr>
          <w:sz w:val="20"/>
          <w:szCs w:val="20"/>
          <w:rtl w:val="0"/>
        </w:rPr>
        <w:t xml:space="preserve">Abuse and nefarious use of cloud services</w:t>
      </w:r>
    </w:p>
    <w:p w:rsidR="00000000" w:rsidDel="00000000" w:rsidP="00000000" w:rsidRDefault="00000000" w:rsidRPr="00000000" w14:paraId="00000037">
      <w:pPr>
        <w:pageBreakBefore w:val="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