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Tutorial 6: Network Layer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Explain TWO (2) functions of the router in the computer network. (201609 TAR UC,  Main) (2 marks)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It connect multiple IP networks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It determine the best path to send packet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7376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It forward packet between computer network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Based on the diagram illustrated in Figure 1, answer the following questions. (201609 TAR UC, Main) 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4466590" cy="176403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7640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1: ABC Network Company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 How many networks shown in Figure 1? (1 mark)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124d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rtl w:val="0"/>
        </w:rPr>
        <w:t xml:space="preserve">5 networks (from router to any devices)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(ii) Locate the directly connected routes and remote routes for Router1.  (5 marks)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5.6339370829364"/>
        <w:gridCol w:w="3792.1830314585322"/>
        <w:gridCol w:w="3792.1830314585322"/>
        <w:tblGridChange w:id="0">
          <w:tblGrid>
            <w:gridCol w:w="1775.6339370829364"/>
            <w:gridCol w:w="3792.1830314585322"/>
            <w:gridCol w:w="3792.1830314585322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124d"/>
                <w:rtl w:val="0"/>
              </w:rPr>
              <w:t xml:space="preserve">Directly Connected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124d"/>
                <w:rtl w:val="0"/>
              </w:rPr>
              <w:t xml:space="preserve">Remote Routes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0124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124d"/>
                <w:sz w:val="24"/>
                <w:szCs w:val="24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rtl w:val="0"/>
              </w:rPr>
              <w:t xml:space="preserve">25.1.1.0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rtl w:val="0"/>
              </w:rPr>
              <w:t xml:space="preserve">192.169.1.0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rtl w:val="0"/>
              </w:rPr>
              <w:t xml:space="preserve">192.169.3.0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rtl w:val="0"/>
              </w:rPr>
              <w:t xml:space="preserve">192.169.2.0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124d"/>
                <w:rtl w:val="0"/>
              </w:rPr>
              <w:t xml:space="preserve">192.169.4.0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124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(iii) PC1 is trying to ping PC2. Predict whether the ping is successful or fail. Explain  your reason. (5 marks)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The ping request time out because PC2 is only connected to console cable which is not a networking cable (does not provide network access)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The console interface does not have an IP address associated with it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In this case, PC2 is only used to connect its terminal to the Switch2 console port to configure Switch2 through its terminal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(iv) Suggest your solution to rectify the situation in Question 1 b) (iii). (3 marks)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PC2 will need to connect to an Ethernet cable such as straight-through cable as console cable is not intended to carry data from PC1 but instead create an interface with it only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7376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Moreover, Router 1 will need to configure static routing in order for PC1 and PC2 to communicate in remote networks.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Based on the diagram illustrated in Figure 1, answer the following questions.  (201609 TAR UC, Main) 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4343400" cy="22922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9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2: IPv4 Packet Header Fields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 Name X, Y, and Z. (3 marks)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X - Time To Live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Y - Protocol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Z - Header Checksum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(ii) Name TWO (2) fields that are used to identify and validate the packet.   (2 marks)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Internet Header Length(IHL) &amp; Total Length and Header Checksum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(iii) Discuss how X works. (4 marks)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Time To Live (TTL) can be implemented by having a counter or timestamp attached in the data in order to make sure that data is discarded once the time limit is reached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To illustrate, when TTL time limit reach to 0, the router will drop the packet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Time To Live (TTL) revolves around managing information packets in relation to Domain Name System (DNS) requests. When a packet is created and transmitted through the internet, there is a chance that it will pass, continuously, from router to router forever. To prevent this, each packet has a specific TTL or hop limit. It is also possible to examine the TTL of a data packet to obtain information on how it has moved through the internet over the course of its travels.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With reference to Figure 1, answer the following questions: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5468619" cy="377545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619" cy="3775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1: Main Campus network 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 In Figure 1, locate directly connected routes and remote routes for Router 1. (201609  TAR UC, Main)  (5 marks)</w:t>
      </w:r>
    </w:p>
    <w:tbl>
      <w:tblPr>
        <w:tblStyle w:val="Table2"/>
        <w:tblW w:w="6740.799865722656" w:type="dxa"/>
        <w:jc w:val="left"/>
        <w:tblInd w:w="1659.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7998657226562"/>
        <w:gridCol w:w="2964.4000244140625"/>
        <w:gridCol w:w="2700.5999755859375"/>
        <w:tblGridChange w:id="0">
          <w:tblGrid>
            <w:gridCol w:w="1075.7998657226562"/>
            <w:gridCol w:w="2964.4000244140625"/>
            <w:gridCol w:w="2700.5999755859375"/>
          </w:tblGrid>
        </w:tblGridChange>
      </w:tblGrid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Directly Connected 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Remote Route</w:t>
            </w:r>
          </w:p>
        </w:tc>
      </w:tr>
      <w:tr>
        <w:trPr>
          <w:cantSplit w:val="0"/>
          <w:trHeight w:val="395.9999084472656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Router1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11.1.1.0/24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193.168.10.0/24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11.1.2.0/24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193.168.11.0/24</w:t>
            </w:r>
          </w:p>
        </w:tc>
      </w:tr>
      <w:tr>
        <w:trPr>
          <w:cantSplit w:val="0"/>
          <w:trHeight w:val="539.920043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209.160.200.224/30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(ii) Using the table format given below, write the Layer 2 and Layer 3 addresses when PC0  ping to PC3. Add more rows to Table 1, if necessary. (201609 TAR UC, Main) (6 marks) 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: Layer 3 source and destination address will forever same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616.5423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2040"/>
        <w:gridCol w:w="2280"/>
        <w:gridCol w:w="2220"/>
        <w:tblGridChange w:id="0">
          <w:tblGrid>
            <w:gridCol w:w="2160"/>
            <w:gridCol w:w="2040"/>
            <w:gridCol w:w="2040"/>
            <w:gridCol w:w="2280"/>
            <w:gridCol w:w="222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Layer 2 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source  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Layer 2 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destination 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Layer 3 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source  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Layer 3 </w:t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destination 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address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rtl w:val="0"/>
              </w:rPr>
              <w:t xml:space="preserve">PC0 to Switch0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00DO.BA8E.741A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000C.85CC.1DA7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11.1.2.10/24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rtl w:val="0"/>
              </w:rPr>
              <w:t xml:space="preserve">Switch0 to Router0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000C.85CC.1DA7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0001.C700.5501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11.1.2.10/24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rtl w:val="0"/>
              </w:rPr>
              <w:t xml:space="preserve">Router0 to Router1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0001.C700.5503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0002.A385.9703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11.1.2.10/24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rtl w:val="0"/>
              </w:rPr>
              <w:t xml:space="preserve">Router1 to Switch3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0002.A385.9702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0060.62B5.7406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11.1.2.10/24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73763"/>
                <w:rtl w:val="0"/>
              </w:rPr>
              <w:t xml:space="preserve">Switch 3 to 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0060.62B5.7406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00D0.1042.C885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193.168.10.10/24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11.1.2.10/24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Based on the diagram shown in Figure 3, identify the remote network and next hop address for the  respective network for Router 1 and Router 2. (201509 TAR UC, Main) (6 marks) </w:t>
      </w:r>
    </w:p>
    <w:p w:rsidR="00000000" w:rsidDel="00000000" w:rsidP="00000000" w:rsidRDefault="00000000" w:rsidRPr="00000000" w14:paraId="00000089">
      <w:pPr>
        <w:pageBreakBefore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4003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3: Network Topology Diagram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16.000671386719" w:type="dxa"/>
        <w:jc w:val="left"/>
        <w:tblInd w:w="927.257690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5999755859375"/>
        <w:gridCol w:w="3261.9998168945312"/>
        <w:gridCol w:w="2813.40087890625"/>
        <w:tblGridChange w:id="0">
          <w:tblGrid>
            <w:gridCol w:w="2340.5999755859375"/>
            <w:gridCol w:w="3261.9998168945312"/>
            <w:gridCol w:w="2813.40087890625"/>
          </w:tblGrid>
        </w:tblGridChange>
      </w:tblGrid>
      <w:tr>
        <w:trPr>
          <w:cantSplit w:val="0"/>
          <w:trHeight w:val="26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Remote Network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Next Hop Address</w:t>
            </w:r>
          </w:p>
        </w:tc>
      </w:tr>
      <w:tr>
        <w:trPr>
          <w:cantSplit w:val="0"/>
          <w:trHeight w:val="261.600036621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Router1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172.30.1.0/24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192.168.2.2/30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172.30.2.0/24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192.168.2.2/30</w:t>
            </w:r>
          </w:p>
        </w:tc>
      </w:tr>
      <w:tr>
        <w:trPr>
          <w:cantSplit w:val="0"/>
          <w:trHeight w:val="26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Router2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10.1.0.0/16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192.168.2.1/30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With reference to Figure 2, answer the following questions: 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4876800" cy="2352675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2: A branch network </w:t>
      </w:r>
    </w:p>
    <w:p w:rsidR="00000000" w:rsidDel="00000000" w:rsidP="00000000" w:rsidRDefault="00000000" w:rsidRPr="00000000" w14:paraId="0000009B">
      <w:pPr>
        <w:pageBreakBefore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(i) In Figure 2, identify the default gateway for Server and Smartphone. Indicate the device  name and the interface clearly in your answer. (201605 TAR UC, resit) (4 marks)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: default gateway (R1) &amp; interface (Gig0/0)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: default gateway (R1) &amp; interface (Gig0/0)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(ii) “When the Registration PC wants to send a message to Library PC, it is not required to configure default gateway in both PCs.” 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agree with the above statement? Justify your answer. 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Yes, I agree with this statement. 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This is because the Registration PC and Library PC are in the same local network.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For local network delivery, the message is not required to be sent to the default gateway.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73763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Switch will directly forward the message based on the destination MAC address.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Figure 4 shows the network topology diagram of Sunrise Ltd. </w:t>
      </w:r>
    </w:p>
    <w:p w:rsidR="00000000" w:rsidDel="00000000" w:rsidP="00000000" w:rsidRDefault="00000000" w:rsidRPr="00000000" w14:paraId="000000B7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3781425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4: Network Topology Diagram 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diagram shown in Figure 4, locate directly connected routes and remote routes for  Router 1. </w:t>
      </w:r>
    </w:p>
    <w:tbl>
      <w:tblPr>
        <w:tblStyle w:val="Table5"/>
        <w:tblW w:w="8883.92074584961" w:type="dxa"/>
        <w:jc w:val="left"/>
        <w:tblInd w:w="459.3376159667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9.720001220703"/>
        <w:gridCol w:w="2962.0004272460938"/>
        <w:gridCol w:w="2962.2003173828125"/>
        <w:tblGridChange w:id="0">
          <w:tblGrid>
            <w:gridCol w:w="2959.720001220703"/>
            <w:gridCol w:w="2962.0004272460938"/>
            <w:gridCol w:w="2962.200317382812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Directly Connected Routes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Remote Routes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192.168.10.0/24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10.1.1.0/24</w:t>
            </w:r>
          </w:p>
        </w:tc>
      </w:tr>
      <w:tr>
        <w:trPr>
          <w:cantSplit w:val="0"/>
          <w:trHeight w:val="279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192.168.11.0/24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10.1.2.0/24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73763"/>
                <w:rtl w:val="0"/>
              </w:rPr>
              <w:t xml:space="preserve">209.162.200.224/30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IPv4 Packet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74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54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